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left w:val="none" w:sz="0" w:space="0" w:color="auto"/>
          <w:bottom w:val="single" w:sz="36"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6945"/>
        <w:gridCol w:w="1124"/>
      </w:tblGrid>
      <w:tr w:rsidR="008A628A" w:rsidRPr="00BF06EA" w14:paraId="386C412D" w14:textId="77777777" w:rsidTr="005074F5">
        <w:tc>
          <w:tcPr>
            <w:tcW w:w="993" w:type="dxa"/>
            <w:tcBorders>
              <w:top w:val="nil"/>
              <w:bottom w:val="single" w:sz="36" w:space="0" w:color="auto"/>
            </w:tcBorders>
            <w:vAlign w:val="bottom"/>
          </w:tcPr>
          <w:p w14:paraId="7C1E690E" w14:textId="77777777" w:rsidR="008A628A" w:rsidRPr="00BF06EA" w:rsidRDefault="00423059" w:rsidP="00276E7F">
            <w:pPr>
              <w:rPr>
                <w:lang w:val="en-ID"/>
              </w:rPr>
            </w:pPr>
            <w:r w:rsidRPr="00BF06EA">
              <w:rPr>
                <w:noProof/>
              </w:rPr>
              <w:drawing>
                <wp:anchor distT="0" distB="0" distL="114300" distR="114300" simplePos="0" relativeHeight="251658240" behindDoc="0" locked="0" layoutInCell="1" allowOverlap="1" wp14:anchorId="1448F157" wp14:editId="4D5F6069">
                  <wp:simplePos x="0" y="0"/>
                  <wp:positionH relativeFrom="margin">
                    <wp:posOffset>-71120</wp:posOffset>
                  </wp:positionH>
                  <wp:positionV relativeFrom="paragraph">
                    <wp:posOffset>-605790</wp:posOffset>
                  </wp:positionV>
                  <wp:extent cx="611505" cy="6153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pdu Jombang.png"/>
                          <pic:cNvPicPr/>
                        </pic:nvPicPr>
                        <pic:blipFill rotWithShape="1">
                          <a:blip r:embed="rId8" cstate="print">
                            <a:extLst>
                              <a:ext uri="{28A0092B-C50C-407E-A947-70E740481C1C}">
                                <a14:useLocalDpi xmlns:a14="http://schemas.microsoft.com/office/drawing/2010/main" val="0"/>
                              </a:ext>
                            </a:extLst>
                          </a:blip>
                          <a:srcRect r="-42"/>
                          <a:stretch/>
                        </pic:blipFill>
                        <pic:spPr bwMode="auto">
                          <a:xfrm>
                            <a:off x="0" y="0"/>
                            <a:ext cx="611505" cy="6153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945" w:type="dxa"/>
            <w:tcBorders>
              <w:top w:val="nil"/>
              <w:bottom w:val="single" w:sz="36" w:space="0" w:color="auto"/>
            </w:tcBorders>
          </w:tcPr>
          <w:p w14:paraId="35B140B0" w14:textId="77777777" w:rsidR="00067960" w:rsidRPr="00BF06EA" w:rsidRDefault="00067960" w:rsidP="00276E7F">
            <w:pPr>
              <w:jc w:val="center"/>
              <w:rPr>
                <w:rFonts w:ascii="Arial" w:hAnsi="Arial" w:cs="Arial"/>
                <w:sz w:val="10"/>
                <w:szCs w:val="10"/>
                <w:lang w:val="en-ID"/>
              </w:rPr>
            </w:pPr>
          </w:p>
          <w:p w14:paraId="6C0B6A7D" w14:textId="77777777" w:rsidR="008A628A" w:rsidRPr="00BF06EA" w:rsidRDefault="006E6BAA" w:rsidP="00276E7F">
            <w:pPr>
              <w:shd w:val="clear" w:color="auto" w:fill="E7E6E6" w:themeFill="background2"/>
              <w:jc w:val="center"/>
              <w:rPr>
                <w:rStyle w:val="Hyperlink"/>
                <w:rFonts w:asciiTheme="minorBidi" w:hAnsiTheme="minorBidi"/>
                <w:sz w:val="18"/>
                <w:szCs w:val="18"/>
                <w:u w:val="none"/>
                <w:lang w:val="en-ID"/>
              </w:rPr>
            </w:pPr>
            <w:r w:rsidRPr="00BF06EA">
              <w:rPr>
                <w:rFonts w:asciiTheme="minorBidi" w:hAnsiTheme="minorBidi"/>
                <w:sz w:val="18"/>
                <w:szCs w:val="18"/>
                <w:lang w:val="en-ID"/>
              </w:rPr>
              <w:t>Available online to</w:t>
            </w:r>
            <w:r w:rsidR="00067960" w:rsidRPr="00BF06EA">
              <w:rPr>
                <w:rFonts w:asciiTheme="minorBidi" w:hAnsiTheme="minorBidi"/>
                <w:color w:val="000000" w:themeColor="text1"/>
                <w:sz w:val="18"/>
                <w:szCs w:val="18"/>
                <w:lang w:val="en-ID"/>
              </w:rPr>
              <w:t xml:space="preserve"> </w:t>
            </w:r>
            <w:hyperlink r:id="rId9" w:history="1">
              <w:r w:rsidR="00067960" w:rsidRPr="00BF06EA">
                <w:rPr>
                  <w:rStyle w:val="Hyperlink"/>
                  <w:rFonts w:asciiTheme="minorBidi" w:hAnsiTheme="minorBidi"/>
                  <w:sz w:val="18"/>
                  <w:szCs w:val="18"/>
                  <w:u w:val="none"/>
                  <w:lang w:val="en-ID"/>
                </w:rPr>
                <w:t>www.journal.unipdu.ac.id</w:t>
              </w:r>
            </w:hyperlink>
          </w:p>
          <w:p w14:paraId="0D01335A" w14:textId="77777777" w:rsidR="00AE1F95" w:rsidRPr="00BF06EA" w:rsidRDefault="00AE1F95" w:rsidP="00276E7F">
            <w:pPr>
              <w:shd w:val="clear" w:color="auto" w:fill="E7E6E6" w:themeFill="background2"/>
              <w:jc w:val="center"/>
              <w:rPr>
                <w:rFonts w:asciiTheme="minorBidi" w:hAnsiTheme="minorBidi"/>
                <w:color w:val="000000" w:themeColor="text1"/>
                <w:sz w:val="18"/>
                <w:szCs w:val="18"/>
                <w:shd w:val="clear" w:color="auto" w:fill="FFFFFF"/>
              </w:rPr>
            </w:pPr>
          </w:p>
          <w:p w14:paraId="021BB394" w14:textId="77777777" w:rsidR="008A628A" w:rsidRPr="00BF06EA" w:rsidRDefault="0057663B" w:rsidP="00276E7F">
            <w:pPr>
              <w:shd w:val="clear" w:color="auto" w:fill="E7E6E6" w:themeFill="background2"/>
              <w:jc w:val="center"/>
              <w:rPr>
                <w:rFonts w:asciiTheme="minorBidi" w:hAnsiTheme="minorBidi"/>
                <w:color w:val="000000" w:themeColor="text1"/>
                <w:sz w:val="18"/>
                <w:szCs w:val="18"/>
                <w:lang w:val="en-ID"/>
              </w:rPr>
            </w:pPr>
            <w:r w:rsidRPr="00BF06EA">
              <w:rPr>
                <w:rFonts w:asciiTheme="minorBidi" w:hAnsiTheme="minorBidi"/>
                <w:noProof/>
                <w:color w:val="000000" w:themeColor="text1"/>
                <w:sz w:val="18"/>
                <w:szCs w:val="18"/>
              </w:rPr>
              <w:drawing>
                <wp:inline distT="0" distB="0" distL="0" distR="0" wp14:anchorId="5F0272C3" wp14:editId="7BF97BC7">
                  <wp:extent cx="825910" cy="1231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Unipdu_5.png"/>
                          <pic:cNvPicPr/>
                        </pic:nvPicPr>
                        <pic:blipFill rotWithShape="1">
                          <a:blip r:embed="rId10" cstate="print">
                            <a:extLst>
                              <a:ext uri="{28A0092B-C50C-407E-A947-70E740481C1C}">
                                <a14:useLocalDpi xmlns:a14="http://schemas.microsoft.com/office/drawing/2010/main" val="0"/>
                              </a:ext>
                            </a:extLst>
                          </a:blip>
                          <a:srcRect l="4936" t="80317" r="4838" b="8054"/>
                          <a:stretch/>
                        </pic:blipFill>
                        <pic:spPr bwMode="auto">
                          <a:xfrm>
                            <a:off x="0" y="0"/>
                            <a:ext cx="831528" cy="124028"/>
                          </a:xfrm>
                          <a:prstGeom prst="rect">
                            <a:avLst/>
                          </a:prstGeom>
                          <a:ln>
                            <a:noFill/>
                          </a:ln>
                          <a:extLst>
                            <a:ext uri="{53640926-AAD7-44D8-BBD7-CCE9431645EC}">
                              <a14:shadowObscured xmlns:a14="http://schemas.microsoft.com/office/drawing/2010/main"/>
                            </a:ext>
                          </a:extLst>
                        </pic:spPr>
                      </pic:pic>
                    </a:graphicData>
                  </a:graphic>
                </wp:inline>
              </w:drawing>
            </w:r>
          </w:p>
          <w:p w14:paraId="7BC4EADC" w14:textId="77777777" w:rsidR="00AE1F95" w:rsidRPr="00BF06EA" w:rsidRDefault="00AE1F95" w:rsidP="00276E7F">
            <w:pPr>
              <w:shd w:val="clear" w:color="auto" w:fill="E7E6E6" w:themeFill="background2"/>
              <w:jc w:val="center"/>
              <w:rPr>
                <w:rFonts w:asciiTheme="minorBidi" w:hAnsiTheme="minorBidi"/>
                <w:color w:val="000000" w:themeColor="text1"/>
                <w:sz w:val="18"/>
                <w:szCs w:val="18"/>
                <w:lang w:val="en-ID"/>
              </w:rPr>
            </w:pPr>
          </w:p>
          <w:p w14:paraId="4C72FFAC" w14:textId="77777777" w:rsidR="00067960" w:rsidRPr="00BF06EA" w:rsidRDefault="00103309" w:rsidP="00276E7F">
            <w:pPr>
              <w:shd w:val="clear" w:color="auto" w:fill="E7E6E6" w:themeFill="background2"/>
              <w:jc w:val="center"/>
              <w:rPr>
                <w:rFonts w:asciiTheme="minorBidi" w:hAnsiTheme="minorBidi"/>
                <w:color w:val="000000" w:themeColor="text1"/>
                <w:sz w:val="18"/>
                <w:szCs w:val="18"/>
                <w:lang w:val="en-ID"/>
              </w:rPr>
            </w:pPr>
            <w:r w:rsidRPr="00BF06EA">
              <w:rPr>
                <w:rFonts w:asciiTheme="minorBidi" w:hAnsiTheme="minorBidi"/>
                <w:b/>
                <w:color w:val="000000" w:themeColor="text1"/>
                <w:sz w:val="18"/>
                <w:szCs w:val="18"/>
                <w:lang w:val="en-ID"/>
              </w:rPr>
              <w:t>S2-Accredited</w:t>
            </w:r>
            <w:r w:rsidR="000C7D27" w:rsidRPr="00BF06EA">
              <w:rPr>
                <w:rFonts w:asciiTheme="minorBidi" w:hAnsiTheme="minorBidi"/>
                <w:color w:val="000000" w:themeColor="text1"/>
                <w:sz w:val="18"/>
                <w:szCs w:val="18"/>
                <w:lang w:val="en-ID"/>
              </w:rPr>
              <w:t xml:space="preserve"> – </w:t>
            </w:r>
            <w:hyperlink r:id="rId11" w:history="1">
              <w:r w:rsidR="000C7D27" w:rsidRPr="00BF06EA">
                <w:rPr>
                  <w:rStyle w:val="Hyperlink"/>
                  <w:rFonts w:asciiTheme="minorBidi" w:hAnsiTheme="minorBidi"/>
                  <w:sz w:val="18"/>
                  <w:szCs w:val="18"/>
                  <w:lang w:val="en-ID"/>
                </w:rPr>
                <w:t>SK No. 34/E/KPT/2018</w:t>
              </w:r>
            </w:hyperlink>
          </w:p>
          <w:p w14:paraId="72C73CBA" w14:textId="77777777" w:rsidR="00067960" w:rsidRPr="00BF06EA" w:rsidRDefault="00105F6F" w:rsidP="00276E7F">
            <w:pPr>
              <w:shd w:val="clear" w:color="auto" w:fill="E7E6E6" w:themeFill="background2"/>
              <w:jc w:val="center"/>
              <w:rPr>
                <w:lang w:val="en-ID"/>
              </w:rPr>
            </w:pPr>
            <w:r w:rsidRPr="00BF06EA">
              <w:rPr>
                <w:rFonts w:asciiTheme="minorBidi" w:hAnsiTheme="minorBidi"/>
                <w:color w:val="000000" w:themeColor="text1"/>
                <w:sz w:val="18"/>
                <w:szCs w:val="18"/>
                <w:lang w:val="en-ID"/>
              </w:rPr>
              <w:t>Journal Page is available to</w:t>
            </w:r>
            <w:r w:rsidR="00AE1F95" w:rsidRPr="00BF06EA">
              <w:rPr>
                <w:rFonts w:asciiTheme="minorBidi" w:hAnsiTheme="minorBidi"/>
                <w:color w:val="000000" w:themeColor="text1"/>
                <w:sz w:val="18"/>
                <w:szCs w:val="18"/>
                <w:lang w:val="en-ID"/>
              </w:rPr>
              <w:t xml:space="preserve"> </w:t>
            </w:r>
            <w:hyperlink r:id="rId12" w:history="1">
              <w:r w:rsidR="00AE1F95" w:rsidRPr="00BF06EA">
                <w:rPr>
                  <w:rStyle w:val="Hyperlink"/>
                  <w:rFonts w:asciiTheme="minorBidi" w:hAnsiTheme="minorBidi"/>
                  <w:sz w:val="18"/>
                  <w:szCs w:val="18"/>
                  <w:lang w:val="en-ID"/>
                </w:rPr>
                <w:t>www.journal.unipdu.ac.id:8080/index.php/register</w:t>
              </w:r>
            </w:hyperlink>
            <w:r w:rsidR="00067960" w:rsidRPr="00BF06EA">
              <w:rPr>
                <w:rFonts w:ascii="Arial" w:hAnsi="Arial" w:cs="Arial"/>
                <w:color w:val="000000" w:themeColor="text1"/>
                <w:sz w:val="20"/>
                <w:szCs w:val="20"/>
                <w:lang w:val="en-ID"/>
              </w:rPr>
              <w:t xml:space="preserve"> </w:t>
            </w:r>
          </w:p>
        </w:tc>
        <w:tc>
          <w:tcPr>
            <w:tcW w:w="1124" w:type="dxa"/>
            <w:tcBorders>
              <w:top w:val="nil"/>
              <w:bottom w:val="single" w:sz="36" w:space="0" w:color="auto"/>
            </w:tcBorders>
          </w:tcPr>
          <w:p w14:paraId="6071A434" w14:textId="77777777" w:rsidR="008A628A" w:rsidRPr="00BF06EA" w:rsidRDefault="003F05D7" w:rsidP="00276E7F">
            <w:pPr>
              <w:jc w:val="right"/>
              <w:rPr>
                <w:lang w:val="en-ID"/>
              </w:rPr>
            </w:pPr>
            <w:r w:rsidRPr="00BF06EA">
              <w:rPr>
                <w:noProof/>
              </w:rPr>
              <w:drawing>
                <wp:anchor distT="0" distB="0" distL="114300" distR="114300" simplePos="0" relativeHeight="251659264" behindDoc="0" locked="0" layoutInCell="1" allowOverlap="1" wp14:anchorId="2D0E7270" wp14:editId="1E48F0F5">
                  <wp:simplePos x="0" y="0"/>
                  <wp:positionH relativeFrom="column">
                    <wp:posOffset>-12065</wp:posOffset>
                  </wp:positionH>
                  <wp:positionV relativeFrom="paragraph">
                    <wp:posOffset>15662</wp:posOffset>
                  </wp:positionV>
                  <wp:extent cx="640715" cy="899795"/>
                  <wp:effectExtent l="19050" t="19050" r="26035" b="146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ver Register 3(1) 2017 Depan.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40715" cy="899795"/>
                          </a:xfrm>
                          <a:prstGeom prst="rect">
                            <a:avLst/>
                          </a:prstGeom>
                          <a:ln w="1270">
                            <a:solidFill>
                              <a:schemeClr val="tx1">
                                <a:alpha val="37000"/>
                              </a:schemeClr>
                            </a:solidFill>
                          </a:ln>
                        </pic:spPr>
                      </pic:pic>
                    </a:graphicData>
                  </a:graphic>
                  <wp14:sizeRelH relativeFrom="margin">
                    <wp14:pctWidth>0</wp14:pctWidth>
                  </wp14:sizeRelH>
                  <wp14:sizeRelV relativeFrom="margin">
                    <wp14:pctHeight>0</wp14:pctHeight>
                  </wp14:sizeRelV>
                </wp:anchor>
              </w:drawing>
            </w:r>
          </w:p>
          <w:p w14:paraId="02B549D1" w14:textId="77777777" w:rsidR="00005280" w:rsidRPr="00BF06EA" w:rsidRDefault="00005280" w:rsidP="00276E7F">
            <w:pPr>
              <w:jc w:val="right"/>
              <w:rPr>
                <w:lang w:val="en-ID"/>
              </w:rPr>
            </w:pPr>
          </w:p>
          <w:p w14:paraId="7FDD921E" w14:textId="77777777" w:rsidR="00005280" w:rsidRPr="00BF06EA" w:rsidRDefault="00005280" w:rsidP="00276E7F">
            <w:pPr>
              <w:jc w:val="right"/>
              <w:rPr>
                <w:lang w:val="en-ID"/>
              </w:rPr>
            </w:pPr>
          </w:p>
          <w:p w14:paraId="723B75C5" w14:textId="77777777" w:rsidR="00005280" w:rsidRPr="00BF06EA" w:rsidRDefault="00005280" w:rsidP="00276E7F">
            <w:pPr>
              <w:jc w:val="right"/>
              <w:rPr>
                <w:lang w:val="en-ID"/>
              </w:rPr>
            </w:pPr>
          </w:p>
          <w:p w14:paraId="6E21F47C" w14:textId="77777777" w:rsidR="00005280" w:rsidRPr="00BF06EA" w:rsidRDefault="00005280" w:rsidP="00276E7F">
            <w:pPr>
              <w:jc w:val="right"/>
              <w:rPr>
                <w:lang w:val="en-ID"/>
              </w:rPr>
            </w:pPr>
          </w:p>
          <w:p w14:paraId="27AD24DF" w14:textId="77777777" w:rsidR="00005280" w:rsidRPr="00BF06EA" w:rsidRDefault="00005280" w:rsidP="00276E7F">
            <w:pPr>
              <w:jc w:val="right"/>
              <w:rPr>
                <w:sz w:val="10"/>
                <w:szCs w:val="10"/>
                <w:lang w:val="en-ID"/>
              </w:rPr>
            </w:pPr>
          </w:p>
        </w:tc>
      </w:tr>
    </w:tbl>
    <w:p w14:paraId="2C0D1DBC" w14:textId="77777777" w:rsidR="0067589A" w:rsidRPr="00BF06EA" w:rsidRDefault="0067589A" w:rsidP="00276E7F">
      <w:pPr>
        <w:spacing w:line="240" w:lineRule="auto"/>
        <w:jc w:val="center"/>
        <w:rPr>
          <w:lang w:val="en-ID"/>
        </w:rPr>
      </w:pPr>
    </w:p>
    <w:p w14:paraId="0E3A8C97" w14:textId="22506C4A" w:rsidR="006D0C5E" w:rsidRPr="00EB6B3B" w:rsidRDefault="00020230" w:rsidP="0096132F">
      <w:pPr>
        <w:pStyle w:val="Judul"/>
        <w:tabs>
          <w:tab w:val="left" w:pos="8505"/>
        </w:tabs>
        <w:rPr>
          <w:color w:val="FF0000"/>
        </w:rPr>
      </w:pPr>
      <w:r>
        <w:t xml:space="preserve">Investigate </w:t>
      </w:r>
      <w:r w:rsidRPr="00020230">
        <w:t xml:space="preserve">the factors that influence the acceptance of fintech lending services: A perspectives from Indonesian </w:t>
      </w:r>
      <w:r>
        <w:t>borrowers</w:t>
      </w:r>
      <w:r w:rsidR="00BB12B0" w:rsidRPr="00EB6B3B">
        <w:rPr>
          <w:color w:val="FF0000"/>
        </w:rPr>
        <w:t xml:space="preserve"> </w:t>
      </w:r>
    </w:p>
    <w:p w14:paraId="773047C8" w14:textId="77777777" w:rsidR="0067589A" w:rsidRPr="00BF06EA" w:rsidRDefault="0067589A" w:rsidP="00276E7F">
      <w:pPr>
        <w:spacing w:after="0" w:line="240" w:lineRule="auto"/>
        <w:jc w:val="both"/>
        <w:rPr>
          <w:rFonts w:ascii="Arial" w:hAnsi="Arial" w:cs="Arial"/>
          <w:b/>
          <w:sz w:val="24"/>
          <w:szCs w:val="24"/>
          <w:lang w:val="en-ID"/>
        </w:rPr>
      </w:pPr>
    </w:p>
    <w:p w14:paraId="123EB613" w14:textId="66E40462" w:rsidR="0067589A" w:rsidRPr="00A23FC4" w:rsidRDefault="002049A0" w:rsidP="0060292E">
      <w:pPr>
        <w:pStyle w:val="Penulis"/>
        <w:spacing w:before="100" w:after="100"/>
        <w:rPr>
          <w:b/>
          <w:iCs/>
          <w:vertAlign w:val="subscript"/>
          <w:lang w:val="en-ID"/>
        </w:rPr>
      </w:pPr>
      <w:r>
        <w:rPr>
          <w:iCs/>
        </w:rPr>
        <w:t>Yekti Wirani</w:t>
      </w:r>
      <w:r w:rsidR="000054CC" w:rsidRPr="00A23FC4">
        <w:rPr>
          <w:iCs/>
        </w:rPr>
        <w:t xml:space="preserve"> </w:t>
      </w:r>
      <w:r w:rsidR="008F7A90" w:rsidRPr="00A23FC4">
        <w:rPr>
          <w:iCs/>
          <w:vertAlign w:val="superscript"/>
        </w:rPr>
        <w:t>a</w:t>
      </w:r>
      <w:r w:rsidR="000054CC" w:rsidRPr="00A23FC4">
        <w:rPr>
          <w:iCs/>
        </w:rPr>
        <w:t xml:space="preserve">, </w:t>
      </w:r>
      <w:r>
        <w:rPr>
          <w:iCs/>
        </w:rPr>
        <w:t>Randi</w:t>
      </w:r>
      <w:r w:rsidR="00280B44" w:rsidRPr="00280B44">
        <w:rPr>
          <w:iCs/>
          <w:vertAlign w:val="superscript"/>
        </w:rPr>
        <w:t xml:space="preserve"> </w:t>
      </w:r>
      <w:r w:rsidR="00280B44">
        <w:rPr>
          <w:iCs/>
          <w:vertAlign w:val="superscript"/>
        </w:rPr>
        <w:t>b</w:t>
      </w:r>
      <w:r>
        <w:rPr>
          <w:iCs/>
        </w:rPr>
        <w:t xml:space="preserve">, </w:t>
      </w:r>
      <w:proofErr w:type="spellStart"/>
      <w:r>
        <w:rPr>
          <w:iCs/>
        </w:rPr>
        <w:t>Muh</w:t>
      </w:r>
      <w:proofErr w:type="spellEnd"/>
      <w:r>
        <w:rPr>
          <w:iCs/>
        </w:rPr>
        <w:t xml:space="preserve"> Syaiful Romadhon</w:t>
      </w:r>
      <w:r w:rsidR="00280B44" w:rsidRPr="00280B44">
        <w:rPr>
          <w:iCs/>
          <w:vertAlign w:val="superscript"/>
        </w:rPr>
        <w:t xml:space="preserve"> </w:t>
      </w:r>
      <w:r w:rsidR="00280B44">
        <w:rPr>
          <w:iCs/>
          <w:vertAlign w:val="superscript"/>
        </w:rPr>
        <w:t>c</w:t>
      </w:r>
    </w:p>
    <w:p w14:paraId="0ADBB878" w14:textId="156F2850" w:rsidR="00B736B1" w:rsidRPr="002049A0" w:rsidRDefault="00B736B1" w:rsidP="00811AEE">
      <w:pPr>
        <w:pStyle w:val="Afiliasipenulis"/>
        <w:rPr>
          <w:iCs/>
          <w:color w:val="FF0000"/>
        </w:rPr>
      </w:pPr>
      <w:proofErr w:type="spellStart"/>
      <w:r w:rsidRPr="00280B44">
        <w:rPr>
          <w:iCs/>
          <w:vertAlign w:val="superscript"/>
        </w:rPr>
        <w:t>a</w:t>
      </w:r>
      <w:r w:rsidR="00280B44">
        <w:rPr>
          <w:iCs/>
          <w:vertAlign w:val="superscript"/>
        </w:rPr>
        <w:t>,b,c</w:t>
      </w:r>
      <w:proofErr w:type="spellEnd"/>
      <w:r w:rsidRPr="00280B44">
        <w:rPr>
          <w:iCs/>
        </w:rPr>
        <w:t xml:space="preserve"> </w:t>
      </w:r>
      <w:r w:rsidR="00811AEE" w:rsidRPr="00280B44">
        <w:rPr>
          <w:iCs/>
        </w:rPr>
        <w:t>Department</w:t>
      </w:r>
      <w:r w:rsidR="00FD49B2" w:rsidRPr="00280B44">
        <w:rPr>
          <w:iCs/>
        </w:rPr>
        <w:t xml:space="preserve"> of </w:t>
      </w:r>
      <w:r w:rsidR="00280B44" w:rsidRPr="00280B44">
        <w:rPr>
          <w:iCs/>
        </w:rPr>
        <w:t>Information Systems</w:t>
      </w:r>
      <w:r w:rsidR="00FD49B2" w:rsidRPr="00280B44">
        <w:rPr>
          <w:iCs/>
        </w:rPr>
        <w:t xml:space="preserve">, </w:t>
      </w:r>
      <w:r w:rsidR="00280B44" w:rsidRPr="00280B44">
        <w:rPr>
          <w:iCs/>
        </w:rPr>
        <w:t xml:space="preserve">Nurul </w:t>
      </w:r>
      <w:proofErr w:type="spellStart"/>
      <w:r w:rsidR="00280B44" w:rsidRPr="00280B44">
        <w:rPr>
          <w:iCs/>
        </w:rPr>
        <w:t>Fikri</w:t>
      </w:r>
      <w:proofErr w:type="spellEnd"/>
      <w:r w:rsidR="00280B44" w:rsidRPr="00280B44">
        <w:rPr>
          <w:iCs/>
        </w:rPr>
        <w:t xml:space="preserve"> College of Technology, Depok, West Java, Indonesia</w:t>
      </w:r>
    </w:p>
    <w:p w14:paraId="41C914DA" w14:textId="1D84E005" w:rsidR="00280B44" w:rsidRPr="00280B44" w:rsidRDefault="00967DF5" w:rsidP="00B25874">
      <w:pPr>
        <w:pStyle w:val="Email"/>
        <w:spacing w:before="100" w:after="100"/>
        <w:rPr>
          <w:rStyle w:val="Hyperlink"/>
          <w:iCs/>
          <w:color w:val="auto"/>
          <w:u w:val="none"/>
        </w:rPr>
      </w:pPr>
      <w:r w:rsidRPr="002049A0">
        <w:rPr>
          <w:iCs/>
          <w:color w:val="FF0000"/>
        </w:rPr>
        <w:t xml:space="preserve"> </w:t>
      </w:r>
      <w:r w:rsidR="00EB444E" w:rsidRPr="00280B44">
        <w:rPr>
          <w:iCs/>
        </w:rPr>
        <w:t>email:</w:t>
      </w:r>
      <w:r w:rsidR="00EF5817" w:rsidRPr="00280B44">
        <w:rPr>
          <w:iCs/>
          <w:vertAlign w:val="superscript"/>
        </w:rPr>
        <w:t xml:space="preserve"> a </w:t>
      </w:r>
      <w:hyperlink r:id="rId14" w:history="1">
        <w:r w:rsidR="00280B44" w:rsidRPr="00085807">
          <w:rPr>
            <w:rStyle w:val="Hyperlink"/>
            <w:iCs/>
          </w:rPr>
          <w:t>yekti@nurulfikri.ac.id</w:t>
        </w:r>
      </w:hyperlink>
      <w:r w:rsidR="00280B44">
        <w:rPr>
          <w:rStyle w:val="Hyperlink"/>
          <w:iCs/>
          <w:color w:val="auto"/>
          <w:u w:val="none"/>
        </w:rPr>
        <w:t>,</w:t>
      </w:r>
      <w:r w:rsidR="00EF5817" w:rsidRPr="00280B44">
        <w:rPr>
          <w:rStyle w:val="Hyperlink"/>
          <w:iCs/>
          <w:color w:val="auto"/>
          <w:u w:val="none"/>
        </w:rPr>
        <w:t xml:space="preserve"> </w:t>
      </w:r>
      <w:r w:rsidR="00EF5817" w:rsidRPr="00280B44">
        <w:rPr>
          <w:rStyle w:val="Hyperlink"/>
          <w:iCs/>
          <w:color w:val="auto"/>
          <w:u w:val="none"/>
          <w:vertAlign w:val="superscript"/>
        </w:rPr>
        <w:t xml:space="preserve">b </w:t>
      </w:r>
      <w:hyperlink r:id="rId15" w:history="1">
        <w:r w:rsidR="00280B44" w:rsidRPr="00085807">
          <w:rPr>
            <w:rStyle w:val="Hyperlink"/>
            <w:iCs/>
          </w:rPr>
          <w:t>randim250498@gmail.com</w:t>
        </w:r>
      </w:hyperlink>
      <w:r w:rsidR="00280B44">
        <w:rPr>
          <w:rStyle w:val="Hyperlink"/>
          <w:iCs/>
          <w:color w:val="auto"/>
          <w:u w:val="none"/>
        </w:rPr>
        <w:t>,</w:t>
      </w:r>
      <w:r w:rsidR="00280B44" w:rsidRPr="00280B44">
        <w:rPr>
          <w:rStyle w:val="Hyperlink"/>
          <w:iCs/>
          <w:color w:val="auto"/>
          <w:u w:val="none"/>
        </w:rPr>
        <w:t xml:space="preserve"> </w:t>
      </w:r>
      <w:r w:rsidR="00280B44">
        <w:rPr>
          <w:rStyle w:val="Hyperlink"/>
          <w:iCs/>
          <w:color w:val="auto"/>
          <w:u w:val="none"/>
          <w:vertAlign w:val="superscript"/>
        </w:rPr>
        <w:t>c</w:t>
      </w:r>
      <w:r w:rsidR="00280B44" w:rsidRPr="00280B44">
        <w:rPr>
          <w:rStyle w:val="Hyperlink"/>
          <w:iCs/>
          <w:color w:val="auto"/>
          <w:u w:val="none"/>
          <w:vertAlign w:val="superscript"/>
        </w:rPr>
        <w:t xml:space="preserve"> </w:t>
      </w:r>
      <w:hyperlink r:id="rId16" w:history="1">
        <w:r w:rsidR="00280B44" w:rsidRPr="00085807">
          <w:rPr>
            <w:rStyle w:val="Hyperlink"/>
            <w:iCs/>
          </w:rPr>
          <w:t>syaiful@nurulfikri.ac.id</w:t>
        </w:r>
      </w:hyperlink>
      <w:r w:rsidR="00280B44">
        <w:rPr>
          <w:rStyle w:val="Hyperlink"/>
          <w:iCs/>
          <w:color w:val="auto"/>
          <w:u w:val="none"/>
        </w:rPr>
        <w:t xml:space="preserve"> </w:t>
      </w:r>
    </w:p>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24"/>
        <w:gridCol w:w="283"/>
        <w:gridCol w:w="6662"/>
      </w:tblGrid>
      <w:tr w:rsidR="0039158F" w:rsidRPr="00BF06EA" w14:paraId="695798C1" w14:textId="77777777" w:rsidTr="0035442A">
        <w:tc>
          <w:tcPr>
            <w:tcW w:w="2124" w:type="dxa"/>
            <w:tcBorders>
              <w:top w:val="single" w:sz="2" w:space="0" w:color="auto"/>
              <w:left w:val="nil"/>
              <w:bottom w:val="single" w:sz="2" w:space="0" w:color="auto"/>
              <w:right w:val="nil"/>
            </w:tcBorders>
            <w:vAlign w:val="center"/>
          </w:tcPr>
          <w:p w14:paraId="0F913D9E" w14:textId="77777777" w:rsidR="0039158F" w:rsidRPr="00BF06EA" w:rsidRDefault="002A0165" w:rsidP="00C179A0">
            <w:pPr>
              <w:pStyle w:val="InfoArtikel"/>
            </w:pPr>
            <w:r w:rsidRPr="00BF06EA">
              <w:t>A R T I C L E   I N F O</w:t>
            </w:r>
          </w:p>
        </w:tc>
        <w:tc>
          <w:tcPr>
            <w:tcW w:w="283" w:type="dxa"/>
            <w:vMerge w:val="restart"/>
            <w:tcBorders>
              <w:top w:val="nil"/>
              <w:left w:val="nil"/>
              <w:right w:val="nil"/>
            </w:tcBorders>
          </w:tcPr>
          <w:p w14:paraId="51F59842" w14:textId="77777777" w:rsidR="0039158F" w:rsidRPr="00BF06EA" w:rsidRDefault="0039158F" w:rsidP="00C179A0">
            <w:pPr>
              <w:pStyle w:val="Abstrak"/>
              <w:rPr>
                <w:iCs w:val="0"/>
              </w:rPr>
            </w:pPr>
          </w:p>
        </w:tc>
        <w:tc>
          <w:tcPr>
            <w:tcW w:w="6662" w:type="dxa"/>
            <w:tcBorders>
              <w:top w:val="single" w:sz="2" w:space="0" w:color="auto"/>
              <w:left w:val="nil"/>
              <w:bottom w:val="single" w:sz="2" w:space="0" w:color="auto"/>
              <w:right w:val="nil"/>
            </w:tcBorders>
            <w:vAlign w:val="center"/>
          </w:tcPr>
          <w:p w14:paraId="55DF0F37" w14:textId="77777777" w:rsidR="0039158F" w:rsidRPr="00BF06EA" w:rsidRDefault="00A2119B" w:rsidP="00656766">
            <w:pPr>
              <w:pStyle w:val="Abstrak"/>
              <w:rPr>
                <w:rFonts w:ascii="Palatino Linotype" w:hAnsi="Palatino Linotype"/>
                <w:iCs w:val="0"/>
              </w:rPr>
            </w:pPr>
            <w:r w:rsidRPr="00BF06EA">
              <w:rPr>
                <w:rFonts w:ascii="Palatino Linotype" w:hAnsi="Palatino Linotype"/>
                <w:iCs w:val="0"/>
              </w:rPr>
              <w:t>A B S T R A C T</w:t>
            </w:r>
          </w:p>
        </w:tc>
      </w:tr>
      <w:tr w:rsidR="00F93E75" w:rsidRPr="00BF06EA" w14:paraId="74680DD4" w14:textId="77777777" w:rsidTr="00C179A0">
        <w:trPr>
          <w:trHeight w:val="1136"/>
        </w:trPr>
        <w:tc>
          <w:tcPr>
            <w:tcW w:w="2124" w:type="dxa"/>
            <w:tcBorders>
              <w:top w:val="single" w:sz="2" w:space="0" w:color="auto"/>
              <w:left w:val="nil"/>
              <w:bottom w:val="single" w:sz="2" w:space="0" w:color="auto"/>
              <w:right w:val="nil"/>
            </w:tcBorders>
            <w:vAlign w:val="center"/>
          </w:tcPr>
          <w:p w14:paraId="608C13E8" w14:textId="77777777" w:rsidR="00F93E75" w:rsidRPr="00BF06EA" w:rsidRDefault="00F93E75" w:rsidP="0059211D">
            <w:pPr>
              <w:pStyle w:val="Sejarahartikel"/>
              <w:rPr>
                <w:i w:val="0"/>
              </w:rPr>
            </w:pPr>
            <w:r w:rsidRPr="00BF06EA">
              <w:rPr>
                <w:i w:val="0"/>
              </w:rPr>
              <w:t>Article history:</w:t>
            </w:r>
          </w:p>
          <w:p w14:paraId="78E4856B" w14:textId="77777777" w:rsidR="00F93E75" w:rsidRPr="00BF06EA" w:rsidRDefault="00F93E75" w:rsidP="00371580">
            <w:pPr>
              <w:pStyle w:val="Isisejarahartikel"/>
            </w:pPr>
            <w:r w:rsidRPr="00BF06EA">
              <w:t>Received 24 January 2020 Revised 30 April 2020 Accepted 2 December 2020 Available online xxx</w:t>
            </w:r>
          </w:p>
        </w:tc>
        <w:tc>
          <w:tcPr>
            <w:tcW w:w="283" w:type="dxa"/>
            <w:vMerge/>
            <w:tcBorders>
              <w:left w:val="nil"/>
              <w:right w:val="nil"/>
            </w:tcBorders>
          </w:tcPr>
          <w:p w14:paraId="71DF476A" w14:textId="77777777" w:rsidR="00F93E75" w:rsidRPr="00BF06EA" w:rsidRDefault="00F93E75" w:rsidP="0059211D">
            <w:pPr>
              <w:pStyle w:val="Isiabstrak"/>
              <w:rPr>
                <w:iCs w:val="0"/>
              </w:rPr>
            </w:pPr>
          </w:p>
        </w:tc>
        <w:tc>
          <w:tcPr>
            <w:tcW w:w="6662" w:type="dxa"/>
            <w:vMerge w:val="restart"/>
            <w:tcBorders>
              <w:top w:val="single" w:sz="2" w:space="0" w:color="auto"/>
              <w:left w:val="nil"/>
              <w:right w:val="nil"/>
            </w:tcBorders>
          </w:tcPr>
          <w:p w14:paraId="1DC39CEE" w14:textId="5C792A59" w:rsidR="00F93E75" w:rsidRPr="00BF06EA" w:rsidRDefault="002049A0" w:rsidP="00D56678">
            <w:pPr>
              <w:pStyle w:val="Isiabstrak"/>
              <w:rPr>
                <w:iCs w:val="0"/>
              </w:rPr>
            </w:pPr>
            <w:r w:rsidRPr="002049A0">
              <w:rPr>
                <w:iCs w:val="0"/>
              </w:rPr>
              <w:t>Financial Technology (FinTech) in Indonesia is</w:t>
            </w:r>
            <w:r w:rsidR="00EB6B3B">
              <w:rPr>
                <w:iCs w:val="0"/>
              </w:rPr>
              <w:t xml:space="preserve"> </w:t>
            </w:r>
            <w:r w:rsidRPr="002049A0">
              <w:rPr>
                <w:iCs w:val="0"/>
              </w:rPr>
              <w:t xml:space="preserve">the innovative solutions for financial services in Indonesia. FinTech has convenience and benefits for Indonesians who need loans, fund management, and other financial transaction activities. FinTech's rapid development in Indonesia is FinTech Lending because it offers cheaper interest rates and more convenient access than conventional financial institutions. The growth of FinTech Lending is expected to support financial inclusion planned by the Indonesian government. The development of FinTech Lending in Indonesia faces challenges. In 2020, 126 FinTech Lending are operating illegally by exploiting communities experiencing economic difficulties. This study </w:t>
            </w:r>
            <w:r w:rsidR="009D78F4">
              <w:rPr>
                <w:iCs w:val="0"/>
              </w:rPr>
              <w:t>designs</w:t>
            </w:r>
            <w:r w:rsidRPr="002049A0">
              <w:rPr>
                <w:iCs w:val="0"/>
              </w:rPr>
              <w:t xml:space="preserve"> to identify the factors that </w:t>
            </w:r>
            <w:r w:rsidR="009D78F4">
              <w:rPr>
                <w:iCs w:val="0"/>
              </w:rPr>
              <w:t>impact</w:t>
            </w:r>
            <w:r w:rsidRPr="002049A0">
              <w:rPr>
                <w:iCs w:val="0"/>
              </w:rPr>
              <w:t xml:space="preserve"> the acceptance of lending-based FinTech services in Indonesia based on problems and opportunities. Factors related to problems are Trust and Security in Online Lending Platform, while factors related to opportunities are Familiarity, Interest Rate, and Personal Innovativeness. This study processed 85 respondents and processed the data using Partial Least Square-Structural Equation Modeling (PLS-SEM). The results are Familiarity and Personal Innovativeness affects the acceptance of FinTech Lending services in Indonesia. </w:t>
            </w:r>
            <w:r w:rsidR="00310DED" w:rsidRPr="00310DED">
              <w:rPr>
                <w:iCs w:val="0"/>
              </w:rPr>
              <w:t>This research also produces recommendations for the development of FinTech Lending in Indonesia</w:t>
            </w:r>
            <w:r w:rsidRPr="002049A0">
              <w:rPr>
                <w:iCs w:val="0"/>
              </w:rPr>
              <w:t>. The resulting recommendations can be used to develop FinTech Lending so that it can support financial inclusion in Indonesia.</w:t>
            </w:r>
          </w:p>
        </w:tc>
      </w:tr>
      <w:tr w:rsidR="00F93E75" w:rsidRPr="00BF06EA" w14:paraId="62692240" w14:textId="77777777" w:rsidTr="00360B6C">
        <w:trPr>
          <w:trHeight w:val="1600"/>
        </w:trPr>
        <w:tc>
          <w:tcPr>
            <w:tcW w:w="2124" w:type="dxa"/>
            <w:tcBorders>
              <w:top w:val="single" w:sz="2" w:space="0" w:color="auto"/>
              <w:left w:val="nil"/>
              <w:bottom w:val="single" w:sz="2" w:space="0" w:color="auto"/>
              <w:right w:val="nil"/>
            </w:tcBorders>
            <w:vAlign w:val="center"/>
          </w:tcPr>
          <w:p w14:paraId="56E78722" w14:textId="7A7143A5" w:rsidR="00F93E75" w:rsidRPr="00BF06EA" w:rsidRDefault="00F93E75" w:rsidP="000E744E">
            <w:pPr>
              <w:pStyle w:val="Katakunci"/>
              <w:rPr>
                <w:i w:val="0"/>
              </w:rPr>
            </w:pPr>
            <w:r w:rsidRPr="00BF06EA">
              <w:rPr>
                <w:i w:val="0"/>
              </w:rPr>
              <w:t xml:space="preserve">Keywords: </w:t>
            </w:r>
          </w:p>
          <w:p w14:paraId="0B380CC7" w14:textId="1524F5C3" w:rsidR="00F93E75" w:rsidRPr="00F729E6" w:rsidRDefault="00F729E6" w:rsidP="00797F1C">
            <w:pPr>
              <w:pStyle w:val="Isikeywords"/>
              <w:rPr>
                <w:i w:val="0"/>
                <w:lang w:val="en-ID"/>
              </w:rPr>
            </w:pPr>
            <w:r>
              <w:rPr>
                <w:i w:val="0"/>
                <w:lang w:val="en-ID"/>
              </w:rPr>
              <w:t>FinTech Lending</w:t>
            </w:r>
          </w:p>
          <w:p w14:paraId="004EF794" w14:textId="24A09FA9" w:rsidR="00F93E75" w:rsidRPr="00BF06EA" w:rsidRDefault="00F93E75" w:rsidP="00C92849">
            <w:pPr>
              <w:pStyle w:val="Isikeywords"/>
              <w:rPr>
                <w:i w:val="0"/>
                <w:lang w:val="en-ID"/>
              </w:rPr>
            </w:pPr>
            <w:r w:rsidRPr="00BF06EA">
              <w:rPr>
                <w:i w:val="0"/>
                <w:lang w:val="en-ID"/>
              </w:rPr>
              <w:t>F</w:t>
            </w:r>
            <w:r w:rsidR="00F729E6">
              <w:rPr>
                <w:i w:val="0"/>
                <w:lang w:val="en-ID"/>
              </w:rPr>
              <w:t>amiliarity</w:t>
            </w:r>
          </w:p>
          <w:p w14:paraId="707C8E9A" w14:textId="6341449E" w:rsidR="00F93E75" w:rsidRPr="00BF06EA" w:rsidRDefault="00F729E6" w:rsidP="00C92849">
            <w:pPr>
              <w:pStyle w:val="Isikeywords"/>
              <w:rPr>
                <w:i w:val="0"/>
                <w:lang w:val="en-ID"/>
              </w:rPr>
            </w:pPr>
            <w:r>
              <w:rPr>
                <w:i w:val="0"/>
                <w:lang w:val="en-ID"/>
              </w:rPr>
              <w:t>Personal Innovativeness</w:t>
            </w:r>
          </w:p>
          <w:p w14:paraId="75779FBB" w14:textId="5F3C3DD6" w:rsidR="00F93E75" w:rsidRPr="00BF06EA" w:rsidRDefault="00F729E6" w:rsidP="00C92849">
            <w:pPr>
              <w:pStyle w:val="Isikeywords"/>
              <w:rPr>
                <w:i w:val="0"/>
                <w:lang w:val="en-ID"/>
              </w:rPr>
            </w:pPr>
            <w:r>
              <w:rPr>
                <w:i w:val="0"/>
                <w:lang w:val="en-ID"/>
              </w:rPr>
              <w:t>Online Lending</w:t>
            </w:r>
          </w:p>
          <w:p w14:paraId="0937C5D8" w14:textId="780E6E85" w:rsidR="00F93E75" w:rsidRPr="00F729E6" w:rsidRDefault="00F729E6" w:rsidP="00C92849">
            <w:pPr>
              <w:pStyle w:val="Isikeywords"/>
              <w:rPr>
                <w:i w:val="0"/>
                <w:lang w:val="en-ID"/>
              </w:rPr>
            </w:pPr>
            <w:r>
              <w:rPr>
                <w:i w:val="0"/>
              </w:rPr>
              <w:t xml:space="preserve">Finansial </w:t>
            </w:r>
            <w:proofErr w:type="spellStart"/>
            <w:r>
              <w:rPr>
                <w:i w:val="0"/>
              </w:rPr>
              <w:t>Inclus</w:t>
            </w:r>
            <w:proofErr w:type="spellEnd"/>
            <w:r>
              <w:rPr>
                <w:i w:val="0"/>
                <w:lang w:val="en-ID"/>
              </w:rPr>
              <w:t>ion</w:t>
            </w:r>
          </w:p>
        </w:tc>
        <w:tc>
          <w:tcPr>
            <w:tcW w:w="283" w:type="dxa"/>
            <w:vMerge/>
            <w:tcBorders>
              <w:left w:val="nil"/>
              <w:right w:val="nil"/>
            </w:tcBorders>
          </w:tcPr>
          <w:p w14:paraId="3BAD9B27" w14:textId="77777777" w:rsidR="00F93E75" w:rsidRPr="00BF06EA" w:rsidRDefault="00F93E75" w:rsidP="000E744E">
            <w:pPr>
              <w:pStyle w:val="Isiabstract"/>
              <w:rPr>
                <w:i w:val="0"/>
                <w:sz w:val="15"/>
              </w:rPr>
            </w:pPr>
          </w:p>
        </w:tc>
        <w:tc>
          <w:tcPr>
            <w:tcW w:w="6662" w:type="dxa"/>
            <w:vMerge/>
            <w:tcBorders>
              <w:left w:val="nil"/>
              <w:right w:val="nil"/>
            </w:tcBorders>
            <w:vAlign w:val="center"/>
          </w:tcPr>
          <w:p w14:paraId="0E25FD0A" w14:textId="77777777" w:rsidR="00F93E75" w:rsidRPr="00BF06EA" w:rsidRDefault="00F93E75" w:rsidP="0059211D">
            <w:pPr>
              <w:pStyle w:val="Isiabstract"/>
              <w:rPr>
                <w:i w:val="0"/>
                <w:sz w:val="15"/>
              </w:rPr>
            </w:pPr>
          </w:p>
        </w:tc>
      </w:tr>
      <w:tr w:rsidR="00F93E75" w:rsidRPr="00BF06EA" w14:paraId="7F5F6324" w14:textId="77777777" w:rsidTr="00331A11">
        <w:trPr>
          <w:trHeight w:val="1694"/>
        </w:trPr>
        <w:tc>
          <w:tcPr>
            <w:tcW w:w="2124" w:type="dxa"/>
            <w:tcBorders>
              <w:top w:val="single" w:sz="2" w:space="0" w:color="auto"/>
              <w:left w:val="nil"/>
              <w:bottom w:val="nil"/>
              <w:right w:val="nil"/>
            </w:tcBorders>
            <w:vAlign w:val="center"/>
          </w:tcPr>
          <w:p w14:paraId="7653E53C" w14:textId="77777777" w:rsidR="0000246D" w:rsidRPr="00BF06EA" w:rsidRDefault="00857C26" w:rsidP="009B0E8C">
            <w:pPr>
              <w:pStyle w:val="Isisitasi"/>
              <w:rPr>
                <w:b/>
                <w:bCs/>
              </w:rPr>
            </w:pPr>
            <w:r>
              <w:rPr>
                <w:b/>
                <w:bCs/>
                <w:lang w:val="en-ID"/>
              </w:rPr>
              <w:t>IEEE</w:t>
            </w:r>
            <w:r w:rsidR="0000246D" w:rsidRPr="00BF06EA">
              <w:rPr>
                <w:b/>
                <w:bCs/>
              </w:rPr>
              <w:t xml:space="preserve"> </w:t>
            </w:r>
            <w:proofErr w:type="spellStart"/>
            <w:r w:rsidR="0000246D" w:rsidRPr="00BF06EA">
              <w:rPr>
                <w:b/>
                <w:bCs/>
              </w:rPr>
              <w:t>style</w:t>
            </w:r>
            <w:proofErr w:type="spellEnd"/>
            <w:r w:rsidR="0000246D" w:rsidRPr="00BF06EA">
              <w:rPr>
                <w:b/>
                <w:bCs/>
              </w:rPr>
              <w:t xml:space="preserve"> in </w:t>
            </w:r>
            <w:proofErr w:type="spellStart"/>
            <w:r w:rsidR="0000246D" w:rsidRPr="00BF06EA">
              <w:rPr>
                <w:b/>
                <w:bCs/>
              </w:rPr>
              <w:t>citing</w:t>
            </w:r>
            <w:proofErr w:type="spellEnd"/>
            <w:r w:rsidR="0000246D" w:rsidRPr="00BF06EA">
              <w:rPr>
                <w:b/>
                <w:bCs/>
              </w:rPr>
              <w:t xml:space="preserve"> </w:t>
            </w:r>
            <w:proofErr w:type="spellStart"/>
            <w:r w:rsidR="0000246D" w:rsidRPr="00BF06EA">
              <w:rPr>
                <w:b/>
                <w:bCs/>
              </w:rPr>
              <w:t>this</w:t>
            </w:r>
            <w:proofErr w:type="spellEnd"/>
            <w:r w:rsidR="0000246D" w:rsidRPr="00BF06EA">
              <w:rPr>
                <w:b/>
                <w:bCs/>
              </w:rPr>
              <w:t xml:space="preserve"> </w:t>
            </w:r>
            <w:proofErr w:type="spellStart"/>
            <w:r w:rsidR="0000246D" w:rsidRPr="00BF06EA">
              <w:rPr>
                <w:b/>
                <w:bCs/>
              </w:rPr>
              <w:t>article</w:t>
            </w:r>
            <w:proofErr w:type="spellEnd"/>
            <w:r w:rsidR="0000246D" w:rsidRPr="00BF06EA">
              <w:rPr>
                <w:b/>
                <w:bCs/>
              </w:rPr>
              <w:t>: [</w:t>
            </w:r>
            <w:proofErr w:type="spellStart"/>
            <w:r w:rsidR="0000246D" w:rsidRPr="00BF06EA">
              <w:rPr>
                <w:b/>
                <w:bCs/>
              </w:rPr>
              <w:t>citation</w:t>
            </w:r>
            <w:proofErr w:type="spellEnd"/>
            <w:r w:rsidR="0000246D" w:rsidRPr="00BF06EA">
              <w:rPr>
                <w:b/>
                <w:bCs/>
              </w:rPr>
              <w:t xml:space="preserve"> </w:t>
            </w:r>
            <w:proofErr w:type="spellStart"/>
            <w:r w:rsidR="0000246D" w:rsidRPr="00BF06EA">
              <w:rPr>
                <w:b/>
                <w:bCs/>
              </w:rPr>
              <w:t>Heading</w:t>
            </w:r>
            <w:proofErr w:type="spellEnd"/>
            <w:r w:rsidR="0000246D" w:rsidRPr="00BF06EA">
              <w:rPr>
                <w:b/>
                <w:bCs/>
              </w:rPr>
              <w:t>]</w:t>
            </w:r>
          </w:p>
          <w:p w14:paraId="0B8E35E5" w14:textId="3C857C2A" w:rsidR="00031039" w:rsidRPr="00BF06EA" w:rsidRDefault="00AD2129" w:rsidP="00503EBE">
            <w:pPr>
              <w:pStyle w:val="Isisitasi"/>
              <w:rPr>
                <w:lang w:val="en-ID"/>
              </w:rPr>
            </w:pPr>
            <w:r w:rsidRPr="00AD2129">
              <w:rPr>
                <w:lang w:val="en-ID"/>
              </w:rPr>
              <w:t xml:space="preserve">F. </w:t>
            </w:r>
            <w:proofErr w:type="spellStart"/>
            <w:r w:rsidRPr="00AD2129">
              <w:rPr>
                <w:lang w:val="en-ID"/>
              </w:rPr>
              <w:t>Fulan</w:t>
            </w:r>
            <w:proofErr w:type="spellEnd"/>
            <w:r w:rsidRPr="00AD2129">
              <w:rPr>
                <w:lang w:val="en-ID"/>
              </w:rPr>
              <w:t xml:space="preserve"> and F. </w:t>
            </w:r>
            <w:proofErr w:type="spellStart"/>
            <w:r w:rsidRPr="00AD2129">
              <w:rPr>
                <w:lang w:val="en-ID"/>
              </w:rPr>
              <w:t>Fulana</w:t>
            </w:r>
            <w:proofErr w:type="spellEnd"/>
            <w:r w:rsidRPr="00AD2129">
              <w:rPr>
                <w:lang w:val="en-ID"/>
              </w:rPr>
              <w:t xml:space="preserve">, "Article Title," </w:t>
            </w:r>
            <w:r w:rsidR="00814674" w:rsidRPr="00767D12">
              <w:rPr>
                <w:i/>
                <w:iCs/>
                <w:lang w:val="en-ID"/>
              </w:rPr>
              <w:t xml:space="preserve">Register: </w:t>
            </w:r>
            <w:proofErr w:type="spellStart"/>
            <w:r w:rsidR="00814674" w:rsidRPr="00767D12">
              <w:rPr>
                <w:i/>
                <w:iCs/>
                <w:lang w:val="en-ID"/>
              </w:rPr>
              <w:t>Jurnal</w:t>
            </w:r>
            <w:proofErr w:type="spellEnd"/>
            <w:r w:rsidR="00814674" w:rsidRPr="00767D12">
              <w:rPr>
                <w:i/>
                <w:iCs/>
                <w:lang w:val="en-ID"/>
              </w:rPr>
              <w:t xml:space="preserve"> </w:t>
            </w:r>
            <w:proofErr w:type="spellStart"/>
            <w:r w:rsidR="00814674" w:rsidRPr="00767D12">
              <w:rPr>
                <w:i/>
                <w:iCs/>
                <w:lang w:val="en-ID"/>
              </w:rPr>
              <w:t>Ilmiah</w:t>
            </w:r>
            <w:proofErr w:type="spellEnd"/>
            <w:r w:rsidR="00814674" w:rsidRPr="00767D12">
              <w:rPr>
                <w:i/>
                <w:iCs/>
                <w:lang w:val="en-ID"/>
              </w:rPr>
              <w:t xml:space="preserve"> </w:t>
            </w:r>
            <w:proofErr w:type="spellStart"/>
            <w:r w:rsidR="00814674" w:rsidRPr="00767D12">
              <w:rPr>
                <w:i/>
                <w:iCs/>
                <w:lang w:val="en-ID"/>
              </w:rPr>
              <w:t>Teknologi</w:t>
            </w:r>
            <w:proofErr w:type="spellEnd"/>
            <w:r w:rsidR="00814674" w:rsidRPr="00767D12">
              <w:rPr>
                <w:i/>
                <w:iCs/>
                <w:lang w:val="en-ID"/>
              </w:rPr>
              <w:t xml:space="preserve"> </w:t>
            </w:r>
            <w:proofErr w:type="spellStart"/>
            <w:r w:rsidR="00814674" w:rsidRPr="00767D12">
              <w:rPr>
                <w:i/>
                <w:iCs/>
                <w:lang w:val="en-ID"/>
              </w:rPr>
              <w:t>Sistem</w:t>
            </w:r>
            <w:proofErr w:type="spellEnd"/>
            <w:r w:rsidR="00814674" w:rsidRPr="00767D12">
              <w:rPr>
                <w:i/>
                <w:iCs/>
                <w:lang w:val="en-ID"/>
              </w:rPr>
              <w:t xml:space="preserve"> </w:t>
            </w:r>
            <w:proofErr w:type="spellStart"/>
            <w:r w:rsidR="00814674" w:rsidRPr="00767D12">
              <w:rPr>
                <w:i/>
                <w:iCs/>
                <w:lang w:val="en-ID"/>
              </w:rPr>
              <w:t>Informasi</w:t>
            </w:r>
            <w:proofErr w:type="spellEnd"/>
            <w:r w:rsidR="005B6D6E">
              <w:rPr>
                <w:lang w:val="en-ID"/>
              </w:rPr>
              <w:t xml:space="preserve">, vol. </w:t>
            </w:r>
            <w:r w:rsidR="006D0410">
              <w:rPr>
                <w:lang w:val="en-ID"/>
              </w:rPr>
              <w:t>7</w:t>
            </w:r>
            <w:r w:rsidR="005B6D6E">
              <w:rPr>
                <w:lang w:val="en-ID"/>
              </w:rPr>
              <w:t>, no. 1, pp. 1-10</w:t>
            </w:r>
            <w:r w:rsidRPr="00AD2129">
              <w:rPr>
                <w:lang w:val="en-ID"/>
              </w:rPr>
              <w:t xml:space="preserve">, </w:t>
            </w:r>
            <w:r w:rsidR="00503EBE">
              <w:rPr>
                <w:lang w:val="en-ID"/>
              </w:rPr>
              <w:t>202</w:t>
            </w:r>
            <w:r w:rsidR="006D0410">
              <w:rPr>
                <w:lang w:val="en-ID"/>
              </w:rPr>
              <w:t>1</w:t>
            </w:r>
            <w:r w:rsidRPr="00AD2129">
              <w:rPr>
                <w:lang w:val="en-ID"/>
              </w:rPr>
              <w:t>.</w:t>
            </w:r>
            <w:r w:rsidR="00031039" w:rsidRPr="00BF06EA">
              <w:t xml:space="preserve"> [</w:t>
            </w:r>
            <w:proofErr w:type="spellStart"/>
            <w:r w:rsidR="00031039" w:rsidRPr="00BF06EA">
              <w:t>Fill</w:t>
            </w:r>
            <w:proofErr w:type="spellEnd"/>
            <w:r w:rsidR="00031039" w:rsidRPr="00BF06EA">
              <w:t xml:space="preserve"> </w:t>
            </w:r>
            <w:proofErr w:type="spellStart"/>
            <w:r w:rsidR="00031039" w:rsidRPr="00BF06EA">
              <w:t>citation</w:t>
            </w:r>
            <w:proofErr w:type="spellEnd"/>
            <w:r w:rsidR="00031039" w:rsidRPr="00BF06EA">
              <w:t xml:space="preserve"> </w:t>
            </w:r>
            <w:proofErr w:type="spellStart"/>
            <w:r w:rsidR="00031039" w:rsidRPr="00BF06EA">
              <w:t>heading</w:t>
            </w:r>
            <w:proofErr w:type="spellEnd"/>
            <w:r w:rsidR="00031039" w:rsidRPr="00BF06EA">
              <w:t>]</w:t>
            </w:r>
          </w:p>
        </w:tc>
        <w:tc>
          <w:tcPr>
            <w:tcW w:w="283" w:type="dxa"/>
            <w:vMerge/>
            <w:tcBorders>
              <w:left w:val="nil"/>
              <w:bottom w:val="single" w:sz="2" w:space="0" w:color="auto"/>
              <w:right w:val="nil"/>
            </w:tcBorders>
          </w:tcPr>
          <w:p w14:paraId="69B658D9" w14:textId="77777777" w:rsidR="00F93E75" w:rsidRPr="00BF06EA" w:rsidRDefault="00F93E75" w:rsidP="00C179A0">
            <w:pPr>
              <w:pStyle w:val="Isiabstract"/>
              <w:rPr>
                <w:i w:val="0"/>
                <w:sz w:val="15"/>
              </w:rPr>
            </w:pPr>
          </w:p>
        </w:tc>
        <w:tc>
          <w:tcPr>
            <w:tcW w:w="6662" w:type="dxa"/>
            <w:vMerge/>
            <w:tcBorders>
              <w:left w:val="nil"/>
              <w:bottom w:val="single" w:sz="2" w:space="0" w:color="auto"/>
              <w:right w:val="nil"/>
            </w:tcBorders>
            <w:vAlign w:val="center"/>
          </w:tcPr>
          <w:p w14:paraId="137B61B0" w14:textId="77777777" w:rsidR="00F93E75" w:rsidRPr="00BF06EA" w:rsidRDefault="00F93E75" w:rsidP="0059211D">
            <w:pPr>
              <w:pStyle w:val="Isiabstract"/>
              <w:rPr>
                <w:i w:val="0"/>
                <w:sz w:val="15"/>
              </w:rPr>
            </w:pPr>
          </w:p>
        </w:tc>
      </w:tr>
      <w:tr w:rsidR="0039158F" w:rsidRPr="00BF06EA" w14:paraId="77E25AC3" w14:textId="77777777" w:rsidTr="0035442A">
        <w:trPr>
          <w:trHeight w:val="236"/>
        </w:trPr>
        <w:tc>
          <w:tcPr>
            <w:tcW w:w="9069" w:type="dxa"/>
            <w:gridSpan w:val="3"/>
            <w:tcBorders>
              <w:top w:val="nil"/>
              <w:left w:val="nil"/>
              <w:bottom w:val="single" w:sz="2" w:space="0" w:color="auto"/>
              <w:right w:val="nil"/>
            </w:tcBorders>
          </w:tcPr>
          <w:p w14:paraId="096B63DA" w14:textId="5FAC28EE" w:rsidR="0039158F" w:rsidRPr="00BF06EA" w:rsidRDefault="006A48FE" w:rsidP="003A6BDE">
            <w:pPr>
              <w:pStyle w:val="Hakcipta"/>
            </w:pPr>
            <w:r w:rsidRPr="006A48FE">
              <w:t>202</w:t>
            </w:r>
            <w:r w:rsidR="006D0410">
              <w:t>1</w:t>
            </w:r>
            <w:r w:rsidRPr="006A48FE">
              <w:t xml:space="preserve"> Register: </w:t>
            </w:r>
            <w:proofErr w:type="spellStart"/>
            <w:r w:rsidRPr="006A48FE">
              <w:rPr>
                <w:i/>
                <w:iCs/>
              </w:rPr>
              <w:t>Jurnal</w:t>
            </w:r>
            <w:proofErr w:type="spellEnd"/>
            <w:r w:rsidRPr="006A48FE">
              <w:rPr>
                <w:i/>
                <w:iCs/>
              </w:rPr>
              <w:t xml:space="preserve"> </w:t>
            </w:r>
            <w:proofErr w:type="spellStart"/>
            <w:r w:rsidRPr="006A48FE">
              <w:rPr>
                <w:i/>
                <w:iCs/>
              </w:rPr>
              <w:t>Ilmiah</w:t>
            </w:r>
            <w:proofErr w:type="spellEnd"/>
            <w:r w:rsidRPr="006A48FE">
              <w:rPr>
                <w:i/>
                <w:iCs/>
              </w:rPr>
              <w:t xml:space="preserve"> </w:t>
            </w:r>
            <w:proofErr w:type="spellStart"/>
            <w:r w:rsidRPr="006A48FE">
              <w:rPr>
                <w:i/>
                <w:iCs/>
              </w:rPr>
              <w:t>Teknologi</w:t>
            </w:r>
            <w:proofErr w:type="spellEnd"/>
            <w:r w:rsidRPr="006A48FE">
              <w:rPr>
                <w:i/>
                <w:iCs/>
              </w:rPr>
              <w:t xml:space="preserve"> </w:t>
            </w:r>
            <w:proofErr w:type="spellStart"/>
            <w:r w:rsidRPr="006A48FE">
              <w:rPr>
                <w:i/>
                <w:iCs/>
              </w:rPr>
              <w:t>Sistem</w:t>
            </w:r>
            <w:proofErr w:type="spellEnd"/>
            <w:r w:rsidRPr="006A48FE">
              <w:rPr>
                <w:i/>
                <w:iCs/>
              </w:rPr>
              <w:t xml:space="preserve"> </w:t>
            </w:r>
            <w:proofErr w:type="spellStart"/>
            <w:r w:rsidRPr="006A48FE">
              <w:rPr>
                <w:i/>
                <w:iCs/>
              </w:rPr>
              <w:t>Informasi</w:t>
            </w:r>
            <w:proofErr w:type="spellEnd"/>
            <w:r w:rsidRPr="006A48FE">
              <w:t xml:space="preserve"> (Scientific Journal of Information System Technology) with CC BY NC SA license.</w:t>
            </w:r>
          </w:p>
        </w:tc>
      </w:tr>
    </w:tbl>
    <w:p w14:paraId="6B0A8B51" w14:textId="77777777" w:rsidR="002E5797" w:rsidRPr="00BF06EA" w:rsidRDefault="002E5797" w:rsidP="002E5797">
      <w:pPr>
        <w:pStyle w:val="SubJudul"/>
        <w:spacing w:before="100" w:after="100"/>
        <w:ind w:left="284" w:hanging="284"/>
      </w:pPr>
      <w:r w:rsidRPr="00BF06EA">
        <w:t>Introduction  [Heading of Section]</w:t>
      </w:r>
    </w:p>
    <w:p w14:paraId="0A183E05" w14:textId="7729B7C7" w:rsidR="002049A0" w:rsidRPr="002049A0" w:rsidRDefault="002049A0" w:rsidP="002049A0">
      <w:pPr>
        <w:pStyle w:val="Isi"/>
        <w:spacing w:line="240" w:lineRule="auto"/>
      </w:pPr>
      <w:r w:rsidRPr="002049A0">
        <w:t xml:space="preserve">The growth of technology use in Indonesia is so fast, as evidenced by the increasing number of mobile and internet device users </w:t>
      </w:r>
      <w:r w:rsidRPr="002049A0">
        <w:fldChar w:fldCharType="begin" w:fldLock="1"/>
      </w:r>
      <w:r w:rsidR="00310DED">
        <w:instrText>ADDIN CSL_CITATION {"citationItems":[{"id":"ITEM-1","itemData":{"author":[{"dropping-particle":"","family":"APJII","given":"","non-dropping-particle":"","parse-names":false,"suffix":""}],"container-title":"Jakarta","id":"ITEM-1","issued":{"date-parts":[["2018"]]},"title":"Penetrasi &amp; profil perilaku pengguna Internet Indonesia 2018","type":"webpage"},"uris":["http://www.mendeley.com/documents/?uuid=67f0ee27-678d-4041-b36a-c34e7816cba8","http://www.mendeley.com/documents/?uuid=2bd126cc-94c5-4cb3-b09c-7c22df66846f"]}],"mendeley":{"formattedCitation":"[1]","plainTextFormattedCitation":"[1]","previouslyFormattedCitation":"[1]"},"properties":{"noteIndex":0},"schema":"https://github.com/citation-style-language/schema/raw/master/csl-citation.json"}</w:instrText>
      </w:r>
      <w:r w:rsidRPr="002049A0">
        <w:fldChar w:fldCharType="separate"/>
      </w:r>
      <w:r w:rsidR="00227A76" w:rsidRPr="00227A76">
        <w:rPr>
          <w:noProof/>
        </w:rPr>
        <w:t>[1]</w:t>
      </w:r>
      <w:r w:rsidRPr="002049A0">
        <w:fldChar w:fldCharType="end"/>
      </w:r>
      <w:r w:rsidRPr="002049A0">
        <w:t xml:space="preserve">. These technological advances affect all areas and aspects of life </w:t>
      </w:r>
      <w:r w:rsidRPr="002049A0">
        <w:fldChar w:fldCharType="begin" w:fldLock="1"/>
      </w:r>
      <w:r w:rsidR="00310DED">
        <w:instrText>ADDIN CSL_CITATION {"citationItems":[{"id":"ITEM-1","itemData":{"DOI":"10.3390/su10010234","ISSN":"20711050","abstract":"This study proposes a new model by partially combining personality traits (PT) and Technology Acceptance Model (TAM) attributes to examine the influences of personality characteristics (conscientiousness, openness) and perception of technology (perceived usefulness, perceives ease of use) on e-purchase intention. We use truncate sampling technique and survey questionnaire to target the sample of Taiwanese online consumers and collect data. We find that consciousness (CON) (personality attribute) significantly influences perceived usefulness (PU) (technology perception attributes), perceived ease of use (PEOU) (technology perception attributes) and openness to experience (OPE) (personality attribute). PU, PEOU and OPE have significant impacts on e-purchase intention (INT). PEOU has the strongest positive impact on (INT). In addition, PU, PEOU and OPE combined together mediate the relationship between CON and INT. Further post hoc analysis of the mediation shows that both PU and PEOU are sustainable mediators. However, OPE is not a significant mediator.","author":[{"dropping-particle":"","family":"Moslehpour","given":"Massoud","non-dropping-particle":"","parse-names":false,"suffix":""},{"dropping-particle":"","family":"Pham","given":"Van Kien","non-dropping-particle":"","parse-names":false,"suffix":""},{"dropping-particle":"","family":"Wong","given":"Wing Keung","non-dropping-particle":"","parse-names":false,"suffix":""},{"dropping-particle":"","family":"Bilgiçli","given":"Ismail","non-dropping-particle":"","parse-names":false,"suffix":""}],"container-title":"Sustainability (Switzerland)","id":"ITEM-1","issue":"1","issued":{"date-parts":[["2018"]]},"title":"e-purchase intention of Taiwanese consumers: Sustainable mediation of perceived usefulness and perceived ease of use","type":"article-journal","volume":"10"},"uris":["http://www.mendeley.com/documents/?uuid=3a7079d8-2839-44b8-b96e-1d9c92fca1b8","http://www.mendeley.com/documents/?uuid=1a779fcd-1883-4d54-a25f-015ff52a88d7"]}],"mendeley":{"formattedCitation":"[2]","plainTextFormattedCitation":"[2]","previouslyFormattedCitation":"[2]"},"properties":{"noteIndex":0},"schema":"https://github.com/citation-style-language/schema/raw/master/csl-citation.json"}</w:instrText>
      </w:r>
      <w:r w:rsidRPr="002049A0">
        <w:fldChar w:fldCharType="separate"/>
      </w:r>
      <w:r w:rsidR="00227A76" w:rsidRPr="00227A76">
        <w:rPr>
          <w:noProof/>
        </w:rPr>
        <w:t>[2]</w:t>
      </w:r>
      <w:r w:rsidRPr="002049A0">
        <w:fldChar w:fldCharType="end"/>
      </w:r>
      <w:r w:rsidRPr="002049A0">
        <w:t xml:space="preserve">. This influence has had an enormous impact, especially in the social and economic fields </w:t>
      </w:r>
      <w:r w:rsidRPr="002049A0">
        <w:fldChar w:fldCharType="begin" w:fldLock="1"/>
      </w:r>
      <w:r w:rsidR="00310DED">
        <w:instrText>ADDIN CSL_CITATION {"citationItems":[{"id":"ITEM-1","itemData":{"DOI":"10.1108/JIMA-12-2019-0252","ISSN":"17590841","abstract":"Purpose: The purpose of this paper is to investigate the influential factors on behavioral intentions toward Islamic financial technology (FinTech) use in Indonesia, for all types of FinTech services as follows: payments, peer to peer lending and crowdfunding. Design/methodology/approach: This study adopted structural equation modeling using the partial least squares approach to test the hypotheses. Based on purposive sampling, the questionnaire was distributed through an online survey and received 1,262 responses. Findings: The results demonstrate that the latent variables, planned behavior, acceptance model and use of technology, have a significant impact on encouraging behavioral intentions to use Islamic FinTech. The “acceptance model” latent variable is the most influential factor. Research limitations/implications: This study was conducted only in Indonesia; therefore, the results cannot be generalized to other countries. However, the study provides important strategic guidelines for policymakers in designing a framework to enhance the development of Islamic FinTech and to achieve financial inclusion. It is suggested that future studies include samples from FinTech users in different countries. Originality/value: This study adds to the literature especially on the factors affecting behavioral intentions to use Islamic FinTech. There are limited studies concerning this topic, especially for Indonesia. The unique feature of this study is the use of a large primary data set that covers most provinces in Indonesia. Furthermore, this study focuses on three types of Islamic FinTech, namely, payments, peer to peer lending and crowdfunding.","author":[{"dropping-particle":"","family":"Darmansyah","given":"","non-dropping-particle":"","parse-names":false,"suffix":""},{"dropping-particle":"","family":"Fianto","given":"Bayu Arie","non-dropping-particle":"","parse-names":false,"suffix":""},{"dropping-particle":"","family":"Hendratmi","given":"Achsania","non-dropping-particle":"","parse-names":false,"suffix":""},{"dropping-particle":"","family":"Aziz","given":"Primandanu Febriyan","non-dropping-particle":"","parse-names":false,"suffix":""}],"container-title":"Journal of Islamic Marketing","id":"ITEM-1","issue":"August 2019","issued":{"date-parts":[["2020"]]},"title":"Factors determining behavioral intentions to use Islamic financial technology: Three competing models","type":"article-journal"},"uris":["http://www.mendeley.com/documents/?uuid=b27ebeeb-3d08-4298-ab44-9852793fe301","http://www.mendeley.com/documents/?uuid=657b3296-e8a9-4340-855c-c1c8a15225ad"]}],"mendeley":{"formattedCitation":"[3]","plainTextFormattedCitation":"[3]","previouslyFormattedCitation":"[3]"},"properties":{"noteIndex":0},"schema":"https://github.com/citation-style-language/schema/raw/master/csl-citation.json"}</w:instrText>
      </w:r>
      <w:r w:rsidRPr="002049A0">
        <w:fldChar w:fldCharType="separate"/>
      </w:r>
      <w:r w:rsidR="00227A76" w:rsidRPr="00227A76">
        <w:rPr>
          <w:noProof/>
        </w:rPr>
        <w:t>[3]</w:t>
      </w:r>
      <w:r w:rsidRPr="002049A0">
        <w:fldChar w:fldCharType="end"/>
      </w:r>
      <w:r w:rsidRPr="002049A0">
        <w:t>. There have been many new technology-based innovations in the economic area, one of which is the emergence</w:t>
      </w:r>
      <w:r w:rsidR="002F49B0">
        <w:t>s</w:t>
      </w:r>
      <w:r w:rsidRPr="002049A0">
        <w:t xml:space="preserve"> Financial Technology, known as FinTech </w:t>
      </w:r>
      <w:r w:rsidRPr="002049A0">
        <w:fldChar w:fldCharType="begin" w:fldLock="1"/>
      </w:r>
      <w:r w:rsidR="00310DED">
        <w:instrText>ADDIN CSL_CITATION {"citationItems":[{"id":"ITEM-1","itemData":{"DOI":"10.1186/s40854-017-0058-9","ISSN":"21994730","author":[{"dropping-particle":"","family":"Ma","given":"Yue","non-dropping-particle":"","parse-names":false,"suffix":""},{"dropping-particle":"","family":"Liu","given":"De","non-dropping-particle":"","parse-names":false,"suffix":""}],"container-title":"Financial Innovation","id":"ITEM-1","issue":"1","issued":{"date-parts":[["2017"]]},"page":"3-6","publisher":"Financial Innovation","title":"Introduction to the special issue on Crowdfunding and FinTech","type":"article-journal","volume":"3"},"uris":["http://www.mendeley.com/documents/?uuid=b237cb7e-fd27-4100-88e1-82eb1840feec","http://www.mendeley.com/documents/?uuid=408ebb8c-c0bf-4256-b021-0adf8c230067"]}],"mendeley":{"formattedCitation":"[4]","plainTextFormattedCitation":"[4]","previouslyFormattedCitation":"[4]"},"properties":{"noteIndex":0},"schema":"https://github.com/citation-style-language/schema/raw/master/csl-citation.json"}</w:instrText>
      </w:r>
      <w:r w:rsidRPr="002049A0">
        <w:fldChar w:fldCharType="separate"/>
      </w:r>
      <w:r w:rsidR="00227A76" w:rsidRPr="00227A76">
        <w:rPr>
          <w:noProof/>
        </w:rPr>
        <w:t>[4]</w:t>
      </w:r>
      <w:r w:rsidRPr="002049A0">
        <w:fldChar w:fldCharType="end"/>
      </w:r>
      <w:r w:rsidRPr="002049A0">
        <w:t xml:space="preserve">. FinTech is a digital platform that combines financial services with technology </w:t>
      </w:r>
      <w:r w:rsidRPr="002049A0">
        <w:fldChar w:fldCharType="begin" w:fldLock="1"/>
      </w:r>
      <w:r w:rsidR="00310DED">
        <w:instrText>ADDIN CSL_CITATION {"citationItems":[{"id":"ITEM-1","itemData":{"abstract":"For this year's survey, we interviewed more than 27,000 consumers in 27 markets. We examined not only how FinTech has improved and expanded its offerings around the world, but also how it has spurred change across the entire financial services industry. FinTech strives to make financial services more accessible for both consumers and businesses. By connecting customers to a digital world, FinTech enhances their experiences, making them efficient, economical and frictionless. There are a few key themes in this year's report: • No longer just disrupters, FinTech challengers have grown into sophisticated competitors, with an increasingly global reach. • Many financial incumbents, such as banks and insurers, offer credible FinTech propositions of their own, challenging the question of what is a \"FinTech?\" • The interactions between challengers, incumbents and players from outside the financial industry are forming FinTech ecosystems that are replacing traditional bilateral partnerships. These themes extend beyond the consumer space. Small and medium-sized enterprises (SMEs) are increasingly using FinTech services. These businesses constitute a distinct customer segment, with needs that are different both from those of consumers and those of large corporations. Thus, this report also contains the first SME FinTech Adoption Index-a survey of 1,000 organizations in five markets. To help bring to life the findings of our surveys, we conducted interviews with a wide range of FinTechs, including stand-alone challengers, financial incumbents and non-financial services companies. Our 2017 case studies focused on how FinTech acquired customers and gained market share. This year, our case studies highlight scaling and expansion-and how these organizations are working within a new context for financial services. We expect some of the newer themes we've identified to accelerate-including the entry of non-financial companies into the FinTech arena and the spread of ecosystems. The pace of innovation continues to accelerate, becoming the \"new normal\" within financial services. We hope this report contributes to a deeper understanding of FinTech's evolving role, and we look forward to observing how this dynamic industry develops in the future. Foreword FinTech has evolved in significant ways since we published our first global EY FinTech Adoption Index in 2015. That year we observed that FinTech, while nascent, was \"clearly more than just hype.\" Our next report, in 2017, …","author":[{"dropping-particle":"","family":"Ernst &amp; Young","given":"","non-dropping-particle":"","parse-names":false,"suffix":""}],"id":"ITEM-1","issued":{"date-parts":[["2019"]]},"page":"1-44","title":"Global FinTech Adoption Index 2019, https://fintechauscensus.ey.com/2019/Documents/ey-global-fintech-adoption-index-2019.pdf","type":"article-journal"},"uris":["http://www.mendeley.com/documents/?uuid=97e2351f-a239-432e-88c1-6a12351a23a0","http://www.mendeley.com/documents/?uuid=27751b14-42f7-427f-96cf-9ac06c7e183d"]}],"mendeley":{"formattedCitation":"[5]","plainTextFormattedCitation":"[5]","previouslyFormattedCitation":"[5]"},"properties":{"noteIndex":0},"schema":"https://github.com/citation-style-language/schema/raw/master/csl-citation.json"}</w:instrText>
      </w:r>
      <w:r w:rsidRPr="002049A0">
        <w:fldChar w:fldCharType="separate"/>
      </w:r>
      <w:r w:rsidR="00227A76" w:rsidRPr="00227A76">
        <w:rPr>
          <w:noProof/>
        </w:rPr>
        <w:t>[5]</w:t>
      </w:r>
      <w:r w:rsidRPr="002049A0">
        <w:fldChar w:fldCharType="end"/>
      </w:r>
      <w:r w:rsidRPr="002049A0">
        <w:t xml:space="preserve">. The presence of FinTech provides innovative solutions to financial services and disrupts financial institutions </w:t>
      </w:r>
      <w:r w:rsidRPr="002049A0">
        <w:fldChar w:fldCharType="begin" w:fldLock="1"/>
      </w:r>
      <w:r w:rsidR="00310DED">
        <w:instrText>ADDIN CSL_CITATION {"citationItems":[{"id":"ITEM-1","itemData":{"DOI":"10.26710/jafee.v6i2.1101","ISSN":"2519-0318","abstract":"Objective: Studies show there is a high acceptance of FinTech development in Malaysia. However, the perceived risk factors that hinder a user's intention to use FinTech remains vague. Research on perceived risk is limited, especially the use of FinTech in the context of Malaysia. Therefore, this study aims to narrow the gap in perceived risk factors of FinTech.\r Methodology: A total of 302 participants participated in the study. Collected data and hypotheses were tested using the method of structural equation modelling.\r Results: It is found that three of the four dimensions of financial risk, legal risk and operational risk have a significant negative impact on the intention to use FinTech. The findings found that security risks do not have a significant negative effect on the intention to use FinTech. This result is consistent with the finding that Malaysian consumers' perception of e-payment is not significantly related to perceived security.\r Implication: The results help practitioners better conceptualise and reduce risk barriers in preparing for the disruption of FinTech. Practitioners are also advised to pay attention to FinTech's operational skills and system functional performance in FinTech services.","author":[{"dropping-particle":"","family":"Tang","given":"Kin Leong","non-dropping-particle":"","parse-names":false,"suffix":""},{"dropping-particle":"","family":"Ooi","given":"Chee Keong","non-dropping-particle":"","parse-names":false,"suffix":""},{"dropping-particle":"","family":"Chong","given":"Jia Bao","non-dropping-particle":"","parse-names":false,"suffix":""}],"container-title":"Journal of Accounting and Finance in Emerging Economies","id":"ITEM-1","issue":"2","issued":{"date-parts":[["2020"]]},"page":"453-463","title":"Perceived Risk Factors Affect Intention To Use FinTech","type":"article-journal","volume":"6"},"uris":["http://www.mendeley.com/documents/?uuid=dfdcf442-5272-4c7a-8a38-e937e262b652","http://www.mendeley.com/documents/?uuid=b07ce566-99f1-4669-8b1b-13da05bf37eb"]}],"mendeley":{"formattedCitation":"[6]","plainTextFormattedCitation":"[6]","previouslyFormattedCitation":"[6]"},"properties":{"noteIndex":0},"schema":"https://github.com/citation-style-language/schema/raw/master/csl-citation.json"}</w:instrText>
      </w:r>
      <w:r w:rsidRPr="002049A0">
        <w:fldChar w:fldCharType="separate"/>
      </w:r>
      <w:r w:rsidR="00227A76" w:rsidRPr="00227A76">
        <w:rPr>
          <w:noProof/>
        </w:rPr>
        <w:t>[6]</w:t>
      </w:r>
      <w:r w:rsidRPr="002049A0">
        <w:fldChar w:fldCharType="end"/>
      </w:r>
      <w:r w:rsidRPr="002049A0">
        <w:t xml:space="preserve">. The FinTech platform's presence aims to provide accessible services for people who need funds, manage funds, make purchases, and other transaction activities related to finance </w:t>
      </w:r>
      <w:r w:rsidRPr="002049A0">
        <w:fldChar w:fldCharType="begin" w:fldLock="1"/>
      </w:r>
      <w:r w:rsidR="00310DED">
        <w:instrText>ADDIN CSL_CITATION {"citationItems":[{"id":"ITEM-1","itemData":{"DOI":"10.1186/s40854-019-0161-1","ISSN":"21994730","author":[{"dropping-particle":"","family":"Kou","given":"Gang","non-dropping-particle":"","parse-names":false,"suffix":""}],"container-title":"Financial Innovation","id":"ITEM-1","issue":"1","issued":{"date-parts":[["2019"]]},"page":"4-6","publisher":"Financial Innovation","title":"Introduction to the special issue on FinTech","type":"article-journal","volume":"5"},"uris":["http://www.mendeley.com/documents/?uuid=b8a87f5d-aaf7-4423-8d8e-989a8e12b2b6","http://www.mendeley.com/documents/?uuid=6a3d733e-15fe-4cc7-9824-a5581e500cad"]}],"mendeley":{"formattedCitation":"[7]","plainTextFormattedCitation":"[7]","previouslyFormattedCitation":"[7]"},"properties":{"noteIndex":0},"schema":"https://github.com/citation-style-language/schema/raw/master/csl-citation.json"}</w:instrText>
      </w:r>
      <w:r w:rsidRPr="002049A0">
        <w:fldChar w:fldCharType="separate"/>
      </w:r>
      <w:r w:rsidR="00227A76" w:rsidRPr="00227A76">
        <w:rPr>
          <w:noProof/>
        </w:rPr>
        <w:t>[7]</w:t>
      </w:r>
      <w:r w:rsidRPr="002049A0">
        <w:fldChar w:fldCharType="end"/>
      </w:r>
      <w:r w:rsidRPr="002049A0">
        <w:t xml:space="preserve">. FinTech has various advantages and conveniences and is cheaper than conventional financial institutions </w:t>
      </w:r>
      <w:r w:rsidRPr="002049A0">
        <w:fldChar w:fldCharType="begin" w:fldLock="1"/>
      </w:r>
      <w:r w:rsidR="00310DED">
        <w:instrText>ADDIN CSL_CITATION {"citationItems":[{"id":"ITEM-1","itemData":{"DOI":"10.3390/math8060951","ISSN":"22277390","abstract":"Technological innovation and digitization have posed a challenge to the financial sector globally. Fintech is the term used to designate the application of new technologies to financial services. The aim of the study is to analyse this research subject worldwide during the period 1975-2019. To this end, bibliometric techniques were applied to 2012 articles, obtaining findings of the productivity of scientific research, of the main thematic axes and their evolution. Scientific activity increased, mainly in the past decade, with 45% of publications. The main thematic areas were Business, Management and Accounting, Engineering, Social Sciences and Computer Science. Seven research lines were identified, aimed at analysing the aspects financial, economic, technology transfer, investment, innovation, partnerships and institutions and commercial. Future research lines should develop analyses on banking, financial services trade, territorial development, legal, management, research methodologies and the sustainability of financial technologies. It was verified that there is a growing and dynamic interest in scientific activity on financial technologies at an international level. The findings obtained are a complement to the knowledge of financial technologies and allow the relationship between science and technology to be established, and to inform the decision-making process.","author":[{"dropping-particle":"","family":"Abad-Segura","given":"Emilio","non-dropping-particle":"","parse-names":false,"suffix":""},{"dropping-particle":"","family":"González-Zamar","given":"Mariana Daniela","non-dropping-particle":"","parse-names":false,"suffix":""},{"dropping-particle":"","family":"López-Meneses","given":"Eloy","non-dropping-particle":"","parse-names":false,"suffix":""},{"dropping-particle":"","family":"Vázquez-Cano","given":"Esteban","non-dropping-particle":"","parse-names":false,"suffix":""}],"container-title":"Mathematics","id":"ITEM-1","issue":"6","issued":{"date-parts":[["2020"]]},"page":"1-36","title":"Financial Technology: Review of trends, approaches and management","type":"article-journal","volume":"8"},"uris":["http://www.mendeley.com/documents/?uuid=73662681-753a-4416-8cb5-ab7f6f603099","http://www.mendeley.com/documents/?uuid=e485f24a-614b-4a22-bb2e-6a5883ca2fe7"]}],"mendeley":{"formattedCitation":"[8]","plainTextFormattedCitation":"[8]","previouslyFormattedCitation":"[8]"},"properties":{"noteIndex":0},"schema":"https://github.com/citation-style-language/schema/raw/master/csl-citation.json"}</w:instrText>
      </w:r>
      <w:r w:rsidRPr="002049A0">
        <w:fldChar w:fldCharType="separate"/>
      </w:r>
      <w:r w:rsidR="00227A76" w:rsidRPr="00227A76">
        <w:rPr>
          <w:noProof/>
        </w:rPr>
        <w:t>[8]</w:t>
      </w:r>
      <w:r w:rsidRPr="002049A0">
        <w:fldChar w:fldCharType="end"/>
      </w:r>
      <w:r w:rsidRPr="002049A0">
        <w:fldChar w:fldCharType="begin" w:fldLock="1"/>
      </w:r>
      <w:r w:rsidR="00310DED">
        <w:instrText>ADDIN CSL_CITATION {"citationItems":[{"id":"ITEM-1","itemData":{"DOI":"10.12695/ajtm.2017.10.1.2","ISSN":"19786956","abstract":"There are many innovative products fail to reach minimum critical mass adopter and cease to exist. New financial technology products are not an exception because the current financial technology to facilitate transactions, whether payment, investment, and insurance still function remarkably well. Since new financial technology products have features to better serve low to middle-level customers in the form of higher convenience level and lower costs than the current financial technology products, the initiatives to ensure their success is imperative. Thus, the purpose of this study is to present propositions based on a literature review to encourage companies to simultaneously have two competencies, first competencies in new product development and second, competencies to foster and collaborate with other companies in within and across business ecosystems. The implications of this paper are companies with higher competencies to foster and collaborate with other companies, even though they start with relatively basic innovative product, have higher probability to reach minimum critical mass of adopter and higher probability to become leader in their business ecosystem and government need to maintain their active role to foster collaboration within and across business ecosystem.","author":[{"dropping-particle":"","family":"Teja","given":"Adrian","non-dropping-particle":"","parse-names":false,"suffix":""}],"container-title":"The Asian Journal of Technology Management (AJTM)","id":"ITEM-1","issue":"1","issued":{"date-parts":[["2017"]]},"page":"10-18","title":"Indonesian Fintech Business: New Innovations or Foster and Collaborate in Business Ecosystems?","type":"article-journal","volume":"10"},"uris":["http://www.mendeley.com/documents/?uuid=9a4115c7-38c9-435a-bfba-bb0e3133b150","http://www.mendeley.com/documents/?uuid=8c03e478-16eb-46c4-bc10-79bc276d6d7e"]}],"mendeley":{"formattedCitation":"[9]","plainTextFormattedCitation":"[9]","previouslyFormattedCitation":"[9]"},"properties":{"noteIndex":0},"schema":"https://github.com/citation-style-language/schema/raw/master/csl-citation.json"}</w:instrText>
      </w:r>
      <w:r w:rsidRPr="002049A0">
        <w:fldChar w:fldCharType="separate"/>
      </w:r>
      <w:r w:rsidR="00227A76" w:rsidRPr="00227A76">
        <w:rPr>
          <w:noProof/>
        </w:rPr>
        <w:t>[9]</w:t>
      </w:r>
      <w:r w:rsidRPr="002049A0">
        <w:fldChar w:fldCharType="end"/>
      </w:r>
      <w:r w:rsidRPr="002049A0">
        <w:t xml:space="preserve">.  Financial transactions using the FinTech platform are faster, easier, and more efficient </w:t>
      </w:r>
      <w:r w:rsidRPr="002049A0">
        <w:fldChar w:fldCharType="begin" w:fldLock="1"/>
      </w:r>
      <w:r w:rsidR="00310DED">
        <w:instrText>ADDIN CSL_CITATION {"citationItems":[{"id":"ITEM-1","itemData":{"DOI":"10.1186/s40854-019-0161-1","ISSN":"21994730","author":[{"dropping-particle":"","family":"Kou","given":"Gang","non-dropping-particle":"","parse-names":false,"suffix":""}],"container-title":"Financial Innovation","id":"ITEM-1","issue":"1","issued":{"date-parts":[["2019"]]},"page":"4-6","publisher":"Financial Innovation","title":"Introduction to the special issue on FinTech","type":"article-journal","volume":"5"},"uris":["http://www.mendeley.com/documents/?uuid=6a3d733e-15fe-4cc7-9824-a5581e500cad","http://www.mendeley.com/documents/?uuid=b8a87f5d-aaf7-4423-8d8e-989a8e12b2b6"]}],"mendeley":{"formattedCitation":"[7]","plainTextFormattedCitation":"[7]","previouslyFormattedCitation":"[7]"},"properties":{"noteIndex":0},"schema":"https://github.com/citation-style-language/schema/raw/master/csl-citation.json"}</w:instrText>
      </w:r>
      <w:r w:rsidRPr="002049A0">
        <w:fldChar w:fldCharType="separate"/>
      </w:r>
      <w:r w:rsidR="00227A76" w:rsidRPr="00227A76">
        <w:rPr>
          <w:noProof/>
        </w:rPr>
        <w:t>[7]</w:t>
      </w:r>
      <w:r w:rsidRPr="002049A0">
        <w:fldChar w:fldCharType="end"/>
      </w:r>
      <w:r w:rsidRPr="002049A0">
        <w:t xml:space="preserve">. </w:t>
      </w:r>
    </w:p>
    <w:p w14:paraId="10F6844A" w14:textId="3B2E6344" w:rsidR="002049A0" w:rsidRPr="002049A0" w:rsidRDefault="002049A0" w:rsidP="00066A14">
      <w:pPr>
        <w:pStyle w:val="Isi"/>
        <w:spacing w:line="240" w:lineRule="auto"/>
        <w:ind w:firstLine="567"/>
      </w:pPr>
      <w:r w:rsidRPr="002049A0">
        <w:t>FinTech companies are divided into five service categories</w:t>
      </w:r>
      <w:r w:rsidR="00063F91">
        <w:t xml:space="preserve">: </w:t>
      </w:r>
      <w:r w:rsidR="00EB6B3B" w:rsidRPr="002049A0">
        <w:t>financial planning</w:t>
      </w:r>
      <w:r w:rsidR="00063F91">
        <w:t xml:space="preserve"> and budgeting</w:t>
      </w:r>
      <w:r w:rsidR="00EB6B3B">
        <w:t xml:space="preserve">, </w:t>
      </w:r>
      <w:r w:rsidRPr="002049A0">
        <w:t>transfers and payments,</w:t>
      </w:r>
      <w:r w:rsidR="00EB6B3B">
        <w:t xml:space="preserve"> </w:t>
      </w:r>
      <w:r w:rsidR="00EB6B3B" w:rsidRPr="002049A0">
        <w:t>borrowing</w:t>
      </w:r>
      <w:r w:rsidR="00EB6B3B">
        <w:t>,</w:t>
      </w:r>
      <w:r w:rsidRPr="002049A0">
        <w:t xml:space="preserve"> savings and investments, </w:t>
      </w:r>
      <w:r w:rsidR="00EB6B3B">
        <w:t>and</w:t>
      </w:r>
      <w:r w:rsidRPr="002049A0">
        <w:t xml:space="preserve"> insurance </w:t>
      </w:r>
      <w:r w:rsidRPr="002049A0">
        <w:fldChar w:fldCharType="begin" w:fldLock="1"/>
      </w:r>
      <w:r w:rsidR="00310DED">
        <w:instrText>ADDIN CSL_CITATION {"citationItems":[{"id":"ITEM-1","itemData":{"abstract":"For this year's survey, we interviewed more than 27,000 consumers in 27 markets. We examined not only how FinTech has improved and expanded its offerings around the world, but also how it has spurred change across the entire financial services industry. FinTech strives to make financial services more accessible for both consumers and businesses. By connecting customers to a digital world, FinTech enhances their experiences, making them efficient, economical and frictionless. There are a few key themes in this year's report: • No longer just disrupters, FinTech challengers have grown into sophisticated competitors, with an increasingly global reach. • Many financial incumbents, such as banks and insurers, offer credible FinTech propositions of their own, challenging the question of what is a \"FinTech?\" • The interactions between challengers, incumbents and players from outside the financial industry are forming FinTech ecosystems that are replacing traditional bilateral partnerships. These themes extend beyond the consumer space. Small and medium-sized enterprises (SMEs) are increasingly using FinTech services. These businesses constitute a distinct customer segment, with needs that are different both from those of consumers and those of large corporations. Thus, this report also contains the first SME FinTech Adoption Index-a survey of 1,000 organizations in five markets. To help bring to life the findings of our surveys, we conducted interviews with a wide range of FinTechs, including stand-alone challengers, financial incumbents and non-financial services companies. Our 2017 case studies focused on how FinTech acquired customers and gained market share. This year, our case studies highlight scaling and expansion-and how these organizations are working within a new context for financial services. We expect some of the newer themes we've identified to accelerate-including the entry of non-financial companies into the FinTech arena and the spread of ecosystems. The pace of innovation continues to accelerate, becoming the \"new normal\" within financial services. We hope this report contributes to a deeper understanding of FinTech's evolving role, and we look forward to observing how this dynamic industry develops in the future. Foreword FinTech has evolved in significant ways since we published our first global EY FinTech Adoption Index in 2015. That year we observed that FinTech, while nascent, was \"clearly more than just hype.\" Our next report, in 2017, …","author":[{"dropping-particle":"","family":"Ernst &amp; Young","given":"","non-dropping-particle":"","parse-names":false,"suffix":""}],"id":"ITEM-1","issued":{"date-parts":[["2019"]]},"page":"1-44","title":"Global FinTech Adoption Index 2019, https://fintechauscensus.ey.com/2019/Documents/ey-global-fintech-adoption-index-2019.pdf","type":"article-journal"},"uris":["http://www.mendeley.com/documents/?uuid=27751b14-42f7-427f-96cf-9ac06c7e183d","http://www.mendeley.com/documents/?uuid=97e2351f-a239-432e-88c1-6a12351a23a0"]}],"mendeley":{"formattedCitation":"[5]","plainTextFormattedCitation":"[5]","previouslyFormattedCitation":"[5]"},"properties":{"noteIndex":0},"schema":"https://github.com/citation-style-language/schema/raw/master/csl-citation.json"}</w:instrText>
      </w:r>
      <w:r w:rsidRPr="002049A0">
        <w:fldChar w:fldCharType="separate"/>
      </w:r>
      <w:r w:rsidR="00227A76" w:rsidRPr="00227A76">
        <w:rPr>
          <w:noProof/>
        </w:rPr>
        <w:t>[5]</w:t>
      </w:r>
      <w:r w:rsidRPr="002049A0">
        <w:fldChar w:fldCharType="end"/>
      </w:r>
      <w:r w:rsidRPr="002049A0">
        <w:t xml:space="preserve">. FinTech services' diversity provides comprehensive convenience in various community activities in Indonesia </w:t>
      </w:r>
      <w:r w:rsidRPr="002049A0">
        <w:fldChar w:fldCharType="begin" w:fldLock="1"/>
      </w:r>
      <w:r w:rsidR="00310DED">
        <w:instrText>ADDIN CSL_CITATION {"citationItems":[{"id":"ITEM-1","itemData":{"abstract":"This study aims to delve deeper into the discussion on how the financial inclusion progress in Indonesia could be affected by the growing fintech industry. We shall comprehensively discuss the current state of the platforms in the country, including the potential benefits and challenges. Such afflictions include the hugely-concentrated deposit market, to begin with and the discrepancies between regulators and the technological changes, while the high internet and mobile phone penetration are only one of the many advantages the country are endowed with. The study aims to highlight the challenges faced in increasing financial inclusion before the fintech platforms begin to flourish and how they differ to the current condition. Novel and relevant policy recommendations are also provided in the latter parts of the discussion.","author":[{"dropping-particle":"","family":"Nuryakin","given":"Chaikal","non-dropping-particle":"","parse-names":false,"suffix":""},{"dropping-particle":"","family":"Aisha","given":"Lovina","non-dropping-particle":"","parse-names":false,"suffix":""},{"dropping-particle":"","family":"Massie","given":"Natanael Waraney Gerald","non-dropping-particle":"","parse-names":false,"suffix":""}],"container-title":"LPEM-FEB UI Working Paper 036","id":"ITEM-1","issue":"May","issued":{"date-parts":[["2019"]]},"page":"1-9","title":"Financial Technology in Indonesia: A Fragmented Instrument for Financial Inclusion?","type":"article-journal"},"uris":["http://www.mendeley.com/documents/?uuid=f510615c-cce0-469f-af7b-4af322bf4dd1","http://www.mendeley.com/documents/?uuid=61fbe0e0-8463-4ffa-a5cc-4912c27c7367"]}],"mendeley":{"formattedCitation":"[10]","plainTextFormattedCitation":"[10]","previouslyFormattedCitation":"[10]"},"properties":{"noteIndex":0},"schema":"https://github.com/citation-style-language/schema/raw/master/csl-citation.json"}</w:instrText>
      </w:r>
      <w:r w:rsidRPr="002049A0">
        <w:fldChar w:fldCharType="separate"/>
      </w:r>
      <w:r w:rsidR="00227A76" w:rsidRPr="00227A76">
        <w:rPr>
          <w:noProof/>
        </w:rPr>
        <w:t>[10]</w:t>
      </w:r>
      <w:r w:rsidRPr="002049A0">
        <w:fldChar w:fldCharType="end"/>
      </w:r>
      <w:r w:rsidRPr="002049A0">
        <w:t>. Currently, FinTech companies in Indonesia consist of several sectors, namely payments (42.2%), lending (17.8%), aggregators (12.6%), and crowdfunding (8.2%), with growth reaching 172.86%</w:t>
      </w:r>
      <w:r>
        <w:t xml:space="preserve"> </w:t>
      </w:r>
      <w:r w:rsidRPr="002049A0">
        <w:fldChar w:fldCharType="begin" w:fldLock="1"/>
      </w:r>
      <w:r w:rsidR="00310DED">
        <w:instrText>ADDIN CSL_CITATION {"citationItems":[{"id":"ITEM-1","itemData":{"DOI":"10.21512/bbr.v11i1.6014","author":[{"dropping-particle":"","family":"Tandiono","given":"Joshua","non-dropping-particle":"","parse-names":false,"suffix":""},{"dropping-particle":"","family":"Djojo","given":"Brata Wibawa","non-dropping-particle":"","parse-names":false,"suffix":""},{"dropping-particle":"","family":"Candra","given":"Sevenpri","non-dropping-particle":"","parse-names":false,"suffix":""},{"dropping-particle":"","family":"Heriyati","given":"Pantri","non-dropping-particle":"","parse-names":false,"suffix":""}],"id":"ITEM-1","issue":"March","issued":{"date-parts":[["2020"]]},"page":"51-58","title":"Finding Customer Perception of Peer-to-Peer ( P2P ) Lending Financial Technology in Pohon Dana","type":"article-journal","volume":"11"},"uris":["http://www.mendeley.com/documents/?uuid=dffdaab8-2801-4953-8ebf-6bfa58398ce0","http://www.mendeley.com/documents/?uuid=683b0d18-f675-440d-a03d-0dbffba35d00"]}],"mendeley":{"formattedCitation":"[11]","plainTextFormattedCitation":"[11]","previouslyFormattedCitation":"[11]"},"properties":{"noteIndex":0},"schema":"https://github.com/citation-style-language/schema/raw/master/csl-citation.json"}</w:instrText>
      </w:r>
      <w:r w:rsidRPr="002049A0">
        <w:fldChar w:fldCharType="separate"/>
      </w:r>
      <w:r w:rsidR="00227A76" w:rsidRPr="00227A76">
        <w:rPr>
          <w:noProof/>
        </w:rPr>
        <w:t>[11]</w:t>
      </w:r>
      <w:r w:rsidRPr="002049A0">
        <w:fldChar w:fldCharType="end"/>
      </w:r>
      <w:r w:rsidRPr="002049A0">
        <w:t xml:space="preserve">. One of the </w:t>
      </w:r>
      <w:r w:rsidRPr="002049A0">
        <w:lastRenderedPageBreak/>
        <w:t>sectors needed by people in Indonesia is FinTech Lending. FinTech Lending services help people who need funds for consumptive or productive needs through loans provided online</w:t>
      </w:r>
      <w:r>
        <w:t xml:space="preserve"> </w:t>
      </w:r>
      <w:r w:rsidRPr="002049A0">
        <w:fldChar w:fldCharType="begin" w:fldLock="1"/>
      </w:r>
      <w:r w:rsidR="00310DED">
        <w:instrText>ADDIN CSL_CITATION {"citationItems":[{"id":"ITEM-1","itemData":{"ISBN":"9781838621483","author":[{"dropping-particle":"","family":"Tisnadisastra","given":"Abadi","non-dropping-particle":"","parse-names":false,"suffix":""},{"dropping-particle":"","family":"Tadjoedin","given":"Abdillah S","non-dropping-particle":"","parse-names":false,"suffix":""}],"container-title":"Fintech 2020","id":"ITEM-1","issue":"1","issued":{"date-parts":[["2019"]]},"page":"69-75","title":"Fintech Indonesia 2020","type":"article-journal","volume":"1"},"uris":["http://www.mendeley.com/documents/?uuid=823614ad-4d1c-4532-b335-374a2a351c8b","http://www.mendeley.com/documents/?uuid=377717c9-390e-49b1-ba6b-010ca64066ec"]}],"mendeley":{"formattedCitation":"[12]","plainTextFormattedCitation":"[12]","previouslyFormattedCitation":"[12]"},"properties":{"noteIndex":0},"schema":"https://github.com/citation-style-language/schema/raw/master/csl-citation.json"}</w:instrText>
      </w:r>
      <w:r w:rsidRPr="002049A0">
        <w:fldChar w:fldCharType="separate"/>
      </w:r>
      <w:r w:rsidR="00227A76" w:rsidRPr="00227A76">
        <w:rPr>
          <w:noProof/>
        </w:rPr>
        <w:t>[12]</w:t>
      </w:r>
      <w:r w:rsidRPr="002049A0">
        <w:fldChar w:fldCharType="end"/>
      </w:r>
      <w:r w:rsidRPr="002049A0">
        <w:t xml:space="preserve">. In addition to providing innovative service variations, FinTech Lending offers lower interest rates and varied prepaid returns compared to non-FinTech intermediaries </w:t>
      </w:r>
      <w:r w:rsidRPr="002049A0">
        <w:fldChar w:fldCharType="begin" w:fldLock="1"/>
      </w:r>
      <w:r w:rsidR="00310DED">
        <w:instrText>ADDIN CSL_CITATION {"citationItems":[{"id":"ITEM-1","itemData":{"abstract":"Page 1. 6,61 5,06 4,25 - 6,00 - 7,14 eich ereich Digital Banking Ulrich Dietz | Bitkom-Vizepräsident Berlin, 6. Juni 2016 Page 2. 6,61 5,06 4,25 - 6,00 - 7,14 eich ereich Drei Viertel der Deutschen haben noch nie ihr Konto gewechselt Ich fürchte, dass der Aufwand für einen Kontowechsel sehr …","author":[{"dropping-particle":"","family":"Mittal","given":"Sachin","non-dropping-particle":"","parse-names":false,"suffix":""},{"dropping-particle":"","family":"Joshi","given":"Disha","non-dropping-particle":"","parse-names":false,"suffix":""},{"dropping-particle":"","family":"Lin","given":"Sue Lim","non-dropping-particle":"","parse-names":false,"suffix":""}],"container-title":"DBS Asian Insights","id":"ITEM-1","issue":"September","issued":{"date-parts":[["2016"]]},"number-of-pages":"32","title":"Digital Banking New Avatar – Banks Watch Out for Banks","type":"report"},"uris":["http://www.mendeley.com/documents/?uuid=beb506b4-c806-4e81-a8f0-ee4d1ff2d9af"]}],"mendeley":{"formattedCitation":"[13]","plainTextFormattedCitation":"[13]","previouslyFormattedCitation":"[13]"},"properties":{"noteIndex":0},"schema":"https://github.com/citation-style-language/schema/raw/master/csl-citation.json"}</w:instrText>
      </w:r>
      <w:r w:rsidRPr="002049A0">
        <w:fldChar w:fldCharType="separate"/>
      </w:r>
      <w:r w:rsidR="00227A76" w:rsidRPr="00227A76">
        <w:rPr>
          <w:noProof/>
        </w:rPr>
        <w:t>[13]</w:t>
      </w:r>
      <w:r w:rsidRPr="002049A0">
        <w:fldChar w:fldCharType="end"/>
      </w:r>
      <w:r w:rsidRPr="002049A0">
        <w:t>.</w:t>
      </w:r>
    </w:p>
    <w:p w14:paraId="5C3DCD7E" w14:textId="3AD69E7A" w:rsidR="002049A0" w:rsidRPr="002049A0" w:rsidRDefault="002049A0" w:rsidP="00066A14">
      <w:pPr>
        <w:pStyle w:val="Isi"/>
        <w:spacing w:line="240" w:lineRule="auto"/>
        <w:ind w:firstLine="567"/>
      </w:pPr>
      <w:r w:rsidRPr="002049A0">
        <w:t xml:space="preserve">As of June 11, 2020, 160 FinTech Lending companies have been registered and have a license from the Financial Services Authority </w:t>
      </w:r>
      <w:r w:rsidRPr="002049A0">
        <w:fldChar w:fldCharType="begin" w:fldLock="1"/>
      </w:r>
      <w:r w:rsidR="00310DED">
        <w:instrText>ADDIN CSL_CITATION {"citationItems":[{"id":"ITEM-1","itemData":{"author":[{"dropping-particle":"","family":"Otoritas Jasa Keuangan","given":"","non-dropping-particle":"","parse-names":false,"suffix":""}],"id":"ITEM-1","issued":{"date-parts":[["2020"]]},"title":"Penyelenggara Fintech Terdaftar dan Berizin di OJK per 11 Juni 2020","type":"webpage"},"uris":["http://www.mendeley.com/documents/?uuid=91990b9f-a186-481b-8a3a-4f7708b7f04a","http://www.mendeley.com/documents/?uuid=46e84b35-3a11-4989-b989-94c1c17b042b"]}],"mendeley":{"formattedCitation":"[14]","plainTextFormattedCitation":"[14]","previouslyFormattedCitation":"[14]"},"properties":{"noteIndex":0},"schema":"https://github.com/citation-style-language/schema/raw/master/csl-citation.json"}</w:instrText>
      </w:r>
      <w:r w:rsidRPr="002049A0">
        <w:fldChar w:fldCharType="separate"/>
      </w:r>
      <w:r w:rsidR="00227A76" w:rsidRPr="00227A76">
        <w:rPr>
          <w:noProof/>
        </w:rPr>
        <w:t>[14]</w:t>
      </w:r>
      <w:r w:rsidRPr="002049A0">
        <w:fldChar w:fldCharType="end"/>
      </w:r>
      <w:r>
        <w:t xml:space="preserve">. </w:t>
      </w:r>
      <w:r w:rsidRPr="002049A0">
        <w:t xml:space="preserve">The rapid development of FinTech Lending services is expected to help realize inclusive finance for the Indonesian people and drive the national economy </w:t>
      </w:r>
      <w:r w:rsidRPr="002049A0">
        <w:fldChar w:fldCharType="begin" w:fldLock="1"/>
      </w:r>
      <w:r w:rsidR="00310DED">
        <w:instrText>ADDIN CSL_CITATION {"citationItems":[{"id":"ITEM-1","itemData":{"abstract":"Rendahnya jumlah akun perbankan pada masyarakat Indonesia dan rendahnya akses masyarakat Indonesia dalam mendapatkan layanan jasa keuangan. Menjadi penyebab utama perlunya mengetahui kontribusi financial technology yang saat ini sedang berkembang pesat dalam meningkatkan inklusi keuangan di Indonesia. Penelitian ini merupakan penelitian kuantitatif dengan menggunakan data cross section pada 34 provinsi di Indonesia di tahun 2019. Sumber data berasal dari situs resmi Otoritas Jasa Keuangan. Penelitian ini dianalisis menggunakan model Ordinary Least Square dengan variabel jumlah borrower pada lembaga fintech lending dalam satuan entitas dan persentase inklusi keuangan Indonesia. Hasil penelitian menunjukkan bahwa terdapat pengaruh yang signifikan antara besarnya jumlah borrower dalam peningkatan inklusi keuangan di Indonesia. Hal ini ditunjukkan dengan kontribusi peningkatan sebesar 1.9% pada inklusi keuangan jika jumlah borrower meningkat sebesar 1%. Peningkatan ini disebabkan oleh berbagai potensi yang mendukung dari segi kemajuan fintech yang selanjutnya dapat dilihat pada tulisan ini.","author":[{"dropping-particle":"","family":"Laut","given":"Lorentino Togar","non-dropping-particle":"","parse-names":false,"suffix":""},{"dropping-particle":"","family":"Ekonomi","given":"Fakultas","non-dropping-particle":"","parse-names":false,"suffix":""},{"dropping-particle":"","family":"Tidar","given":"Universitas","non-dropping-particle":"","parse-names":false,"suffix":""},{"dropping-particle":"","family":"Hutajulu","given":"Dinar Melani","non-dropping-particle":"","parse-names":false,"suffix":""},{"dropping-particle":"","family":"Ekonomi","given":"Fakultas","non-dropping-particle":"","parse-names":false,"suffix":""},{"dropping-particle":"","family":"Tidar","given":"Universitas","non-dropping-particle":"","parse-names":false,"suffix":""}],"container-title":"Prosiding SEMINAR NASIONAL DAN CALL FOR PAPERS Fakultas Ekonomi Universitas Tidar","id":"ITEM-1","issued":{"date-parts":[["2019"]]},"page":"326-336","title":"Kontribusi Financial Technology Dalam Meningkatkan","type":"article-journal"},"uris":["http://www.mendeley.com/documents/?uuid=0b015719-32db-4b55-a9f3-17a6fee6e0e5","http://www.mendeley.com/documents/?uuid=da4acfcf-11ac-44dd-a2bf-cc651f10fcfc"]}],"mendeley":{"formattedCitation":"[15]","plainTextFormattedCitation":"[15]","previouslyFormattedCitation":"[15]"},"properties":{"noteIndex":0},"schema":"https://github.com/citation-style-language/schema/raw/master/csl-citation.json"}</w:instrText>
      </w:r>
      <w:r w:rsidRPr="002049A0">
        <w:fldChar w:fldCharType="separate"/>
      </w:r>
      <w:r w:rsidR="00227A76" w:rsidRPr="00227A76">
        <w:rPr>
          <w:noProof/>
        </w:rPr>
        <w:t>[15]</w:t>
      </w:r>
      <w:r w:rsidRPr="002049A0">
        <w:fldChar w:fldCharType="end"/>
      </w:r>
      <w:r w:rsidRPr="002049A0">
        <w:t>.</w:t>
      </w:r>
      <w:r>
        <w:t xml:space="preserve"> </w:t>
      </w:r>
      <w:r w:rsidRPr="002049A0">
        <w:t xml:space="preserve"> According to Bank Indonesia </w:t>
      </w:r>
      <w:r w:rsidRPr="002049A0">
        <w:fldChar w:fldCharType="begin" w:fldLock="1"/>
      </w:r>
      <w:r w:rsidR="00310DED">
        <w:instrText>ADDIN CSL_CITATION {"citationItems":[{"id":"ITEM-1","itemData":{"URL":"https://www.bi.go.id/id/ssk/Peran-BI-SSK/keuanganinklusif/program/Contents/default.aspx","author":[{"dropping-particle":"","family":"Bank Indonesia","given":"","non-dropping-particle":"","parse-names":false,"suffix":""}],"id":"ITEM-1","issued":{"date-parts":[["2013"]]},"title":"Program Keuangan Inklusif Bank Indonesia","type":"webpage"},"uris":["http://www.mendeley.com/documents/?uuid=016c69c3-f665-4804-9744-8ea8df075eaf","http://www.mendeley.com/documents/?uuid=34b6f3fa-fc48-4f4c-a74b-861b19e38732"]}],"mendeley":{"formattedCitation":"[16]","plainTextFormattedCitation":"[16]","previouslyFormattedCitation":"[16]"},"properties":{"noteIndex":0},"schema":"https://github.com/citation-style-language/schema/raw/master/csl-citation.json"}</w:instrText>
      </w:r>
      <w:r w:rsidRPr="002049A0">
        <w:fldChar w:fldCharType="separate"/>
      </w:r>
      <w:r w:rsidR="00227A76" w:rsidRPr="00227A76">
        <w:rPr>
          <w:noProof/>
        </w:rPr>
        <w:t>[16]</w:t>
      </w:r>
      <w:r w:rsidRPr="002049A0">
        <w:fldChar w:fldCharType="end"/>
      </w:r>
      <w:r w:rsidRPr="002049A0">
        <w:t xml:space="preserve">, financial inclusion provides in-depth financial services for the bottom of the pyramid community. People with the bottom of pyramid type are people with </w:t>
      </w:r>
      <w:r w:rsidR="00420ABD">
        <w:t>shallow</w:t>
      </w:r>
      <w:r w:rsidRPr="002049A0">
        <w:t xml:space="preserve"> and </w:t>
      </w:r>
      <w:r w:rsidR="00420ABD">
        <w:t>fluctuating</w:t>
      </w:r>
      <w:r w:rsidRPr="002049A0">
        <w:t xml:space="preserve"> incomes, live in </w:t>
      </w:r>
      <w:r w:rsidR="00420ABD">
        <w:t>inaccessible</w:t>
      </w:r>
      <w:r w:rsidRPr="002049A0">
        <w:t xml:space="preserve"> areas, people with disabilities, </w:t>
      </w:r>
      <w:r w:rsidR="00420ABD">
        <w:t>laborer</w:t>
      </w:r>
      <w:r w:rsidR="001E067B">
        <w:t>s</w:t>
      </w:r>
      <w:r w:rsidRPr="002049A0">
        <w:t xml:space="preserve"> who do not have legal </w:t>
      </w:r>
      <w:r w:rsidR="00420ABD">
        <w:t>personality</w:t>
      </w:r>
      <w:r w:rsidRPr="002049A0">
        <w:t xml:space="preserve"> documents, and marginalized </w:t>
      </w:r>
      <w:r w:rsidR="00420ABD">
        <w:t>society</w:t>
      </w:r>
      <w:r w:rsidRPr="002049A0">
        <w:t>. Most of the people with this type are unbanked and have a high proportion in developed countries.</w:t>
      </w:r>
    </w:p>
    <w:p w14:paraId="4A0146F8" w14:textId="25E533DF" w:rsidR="002049A0" w:rsidRPr="002049A0" w:rsidRDefault="002049A0" w:rsidP="00310DED">
      <w:pPr>
        <w:pStyle w:val="Isi"/>
        <w:spacing w:line="240" w:lineRule="auto"/>
        <w:ind w:firstLine="567"/>
      </w:pPr>
      <w:r w:rsidRPr="002049A0">
        <w:t xml:space="preserve">FinTech's journey to support financial inclusion also encountered obstacles, namely complaints from the public regarding FinTech Lending services. Based on a press release conducted by the Financial Services Authority through the Investment Alert Task Force, 126 FinTech-based illegal borrowings do not have a license </w:t>
      </w:r>
      <w:r w:rsidRPr="002049A0">
        <w:fldChar w:fldCharType="begin" w:fldLock="1"/>
      </w:r>
      <w:r w:rsidR="00310DED">
        <w:instrText>ADDIN CSL_CITATION {"citationItems":[{"id":"ITEM-1","itemData":{"URL":"https://www.ojk.go.id/id/berita-dan-kegiatan/siaran-pers/Pages/Siaran-Pers-Satgas-Waspada-Investasi-Tutup-126-Fintech-Lending-Ilegal-dan-32-Investasi-Tanpa-Izin-.aspx","accessed":{"date-parts":[["2020","9","29"]]},"author":[{"dropping-particle":"","family":"Otoritas Jasa Keuangan","given":"","non-dropping-particle":"","parse-names":false,"suffix":""}],"id":"ITEM-1","issued":{"date-parts":[["2020"]]},"title":"Siaran Pers Satgas Waspada Investasi Tutup 126 Fintech Lending Ilegal Dan 32 Investasi Tanpa Izin","type":"webpage"},"uris":["http://www.mendeley.com/documents/?uuid=6dac040c-d892-41a4-b5c3-37a1c9881527"]}],"mendeley":{"formattedCitation":"[17]","plainTextFormattedCitation":"[17]","previouslyFormattedCitation":"[17]"},"properties":{"noteIndex":0},"schema":"https://github.com/citation-style-language/schema/raw/master/csl-citation.json"}</w:instrText>
      </w:r>
      <w:r w:rsidRPr="002049A0">
        <w:fldChar w:fldCharType="separate"/>
      </w:r>
      <w:r w:rsidR="00227A76" w:rsidRPr="00227A76">
        <w:rPr>
          <w:noProof/>
        </w:rPr>
        <w:t>[17]</w:t>
      </w:r>
      <w:r w:rsidRPr="002049A0">
        <w:fldChar w:fldCharType="end"/>
      </w:r>
      <w:r w:rsidRPr="002049A0">
        <w:t xml:space="preserve">. FinTech Lending which operates illegally and deliberately takes advantage of people who are in financial difficulty during the Covid-19 pandemic and cause losses. Also, there are reports of privacy violations committed by FinTech based lending, which send messages to borrower contacts to humiliate the borrower and hasten loan repayments </w:t>
      </w:r>
      <w:r w:rsidRPr="002049A0">
        <w:fldChar w:fldCharType="begin" w:fldLock="1"/>
      </w:r>
      <w:r w:rsidR="00310DED">
        <w:instrText>ADDIN CSL_CITATION {"citationItems":[{"id":"ITEM-1","itemData":{"URL":"https://oxfordbusinessgroup.com/overview/greater-access-backed-sensible-regulations-indonesia’s-tech-giants-are-helping-expand-financial","accessed":{"date-parts":[["2020","9","29"]]},"author":[{"dropping-particle":"","family":"Oxford Business Groups","given":"","non-dropping-particle":"","parse-names":false,"suffix":""}],"id":"ITEM-1","issued":{"date-parts":[["2020"]]},"title":"How Indonesian fintech companies are boosting financial inclusion","type":"webpage"},"uris":["http://www.mendeley.com/documents/?uuid=9dd56280-1f88-4070-99cf-9f14e12860bb"]}],"mendeley":{"formattedCitation":"[18]","plainTextFormattedCitation":"[18]","previouslyFormattedCitation":"[18]"},"properties":{"noteIndex":0},"schema":"https://github.com/citation-style-language/schema/raw/master/csl-citation.json"}</w:instrText>
      </w:r>
      <w:r w:rsidRPr="002049A0">
        <w:fldChar w:fldCharType="separate"/>
      </w:r>
      <w:r w:rsidR="00227A76" w:rsidRPr="00227A76">
        <w:rPr>
          <w:noProof/>
        </w:rPr>
        <w:t>[18]</w:t>
      </w:r>
      <w:r w:rsidRPr="002049A0">
        <w:fldChar w:fldCharType="end"/>
      </w:r>
      <w:r w:rsidRPr="002049A0">
        <w:t xml:space="preserve">. The existence of illegal FinTech Lending, which is still operating, gives a bad impression on the FinTech industry to reduce public confidence in using legal FinTech Lending services. Research conducted by </w:t>
      </w:r>
      <w:r>
        <w:fldChar w:fldCharType="begin" w:fldLock="1"/>
      </w:r>
      <w:r w:rsidR="00310DED">
        <w:instrText>ADDIN CSL_CITATION {"citationItems":[{"id":"ITEM-1","itemData":{"DOI":"10.21512/bbr.v11i1.6014","author":[{"dropping-particle":"","family":"Tandiono","given":"Joshua","non-dropping-particle":"","parse-names":false,"suffix":""},{"dropping-particle":"","family":"Djojo","given":"Brata Wibawa","non-dropping-particle":"","parse-names":false,"suffix":""},{"dropping-particle":"","family":"Candra","given":"Sevenpri","non-dropping-particle":"","parse-names":false,"suffix":""},{"dropping-particle":"","family":"Heriyati","given":"Pantri","non-dropping-particle":"","parse-names":false,"suffix":""}],"id":"ITEM-1","issue":"March","issued":{"date-parts":[["2020"]]},"page":"51-58","title":"Finding Customer Perception of Peer-to-Peer ( P2P ) Lending Financial Technology in Pohon Dana","type":"article-journal","volume":"11"},"uris":["http://www.mendeley.com/documents/?uuid=683b0d18-f675-440d-a03d-0dbffba35d00","http://www.mendeley.com/documents/?uuid=dffdaab8-2801-4953-8ebf-6bfa58398ce0"]}],"mendeley":{"formattedCitation":"[11]","plainTextFormattedCitation":"[11]","previouslyFormattedCitation":"[11]"},"properties":{"noteIndex":0},"schema":"https://github.com/citation-style-language/schema/raw/master/csl-citation.json"}</w:instrText>
      </w:r>
      <w:r>
        <w:fldChar w:fldCharType="separate"/>
      </w:r>
      <w:r w:rsidR="00227A76" w:rsidRPr="00227A76">
        <w:rPr>
          <w:noProof/>
        </w:rPr>
        <w:t>[11]</w:t>
      </w:r>
      <w:r>
        <w:fldChar w:fldCharType="end"/>
      </w:r>
      <w:r>
        <w:t xml:space="preserve"> </w:t>
      </w:r>
      <w:r w:rsidRPr="002049A0">
        <w:t>shows that the side of trust in FinTech Lending still indicates a negative perception.</w:t>
      </w:r>
    </w:p>
    <w:p w14:paraId="761DA0FF" w14:textId="3BDE7919" w:rsidR="002049A0" w:rsidRPr="002049A0" w:rsidRDefault="002049A0" w:rsidP="00066A14">
      <w:pPr>
        <w:pStyle w:val="Isi"/>
        <w:spacing w:line="240" w:lineRule="auto"/>
        <w:ind w:firstLine="567"/>
      </w:pPr>
      <w:r w:rsidRPr="002049A0">
        <w:t xml:space="preserve">This study </w:t>
      </w:r>
      <w:r w:rsidR="001E067B">
        <w:t>designs</w:t>
      </w:r>
      <w:r w:rsidRPr="002049A0">
        <w:t xml:space="preserve"> to </w:t>
      </w:r>
      <w:r w:rsidR="008565AF">
        <w:t>analyze</w:t>
      </w:r>
      <w:r w:rsidRPr="002049A0">
        <w:t xml:space="preserve"> the factors that </w:t>
      </w:r>
      <w:proofErr w:type="spellStart"/>
      <w:r w:rsidR="001E067B">
        <w:t>effect</w:t>
      </w:r>
      <w:proofErr w:type="spellEnd"/>
      <w:r w:rsidRPr="002049A0">
        <w:t xml:space="preserve"> the acceptance of FinTech Lending services. The factors that will be studied come from the opportunities and problems found in FinTech Lending in Indonesia. Factors related to FinTech opportunities are the wide variety of features and services offered so that users can try to explore and innovate with the solutions offered. These opportunities are also related to users who are increasingly familiar with FinTech features and services, the more they want to use the FinTech platform. Also, FinTech Lending is believed to offer a lower interest rate than non-FinTech intermediaries; of course, this will encourage users to be interested in using its services. Apart from these opportunities, FinTech is also faced with low public trust in FinTech service providers and the security promised by providers in the form of legal procedures and rules. These factors are expected to be a guideline that can provide knowledge and understanding to the public regarding FinTech Lending. Also, this study's </w:t>
      </w:r>
      <w:r w:rsidR="001E067B">
        <w:t>outcome</w:t>
      </w:r>
      <w:r w:rsidRPr="002049A0">
        <w:t xml:space="preserve"> can be used as recommendations for Fintech Lending service providers in improving the quality of their services in Indonesia. Improving the quality of services at FinTech lending in Indonesia can support the Indonesian government's program, namely realizing financial inclusion for the Indonesian people.</w:t>
      </w:r>
    </w:p>
    <w:p w14:paraId="1933BA17" w14:textId="77777777" w:rsidR="009F18F8" w:rsidRPr="00BF06EA" w:rsidRDefault="0070445D" w:rsidP="002E5797">
      <w:pPr>
        <w:pStyle w:val="SubJudul"/>
        <w:spacing w:before="100" w:after="100"/>
        <w:ind w:left="284" w:hanging="284"/>
      </w:pPr>
      <w:r w:rsidRPr="00BF06EA">
        <w:t>State of the Art</w:t>
      </w:r>
    </w:p>
    <w:p w14:paraId="5BA529B9" w14:textId="2B849D13" w:rsidR="00412880" w:rsidRPr="00412880" w:rsidRDefault="00412880" w:rsidP="00412880">
      <w:pPr>
        <w:pStyle w:val="Isi"/>
        <w:spacing w:line="240" w:lineRule="auto"/>
      </w:pPr>
      <w:r w:rsidRPr="00412880">
        <w:t xml:space="preserve">The FinTech business model has developed significantly over the past few years to provide financial transaction services to complement the retail banking industry. The FinTech business is increasingly innovative because it is supported by technological developments such as online banking, online payment, algorithmic trading, and cryptocurrencies </w:t>
      </w:r>
      <w:r w:rsidRPr="00412880">
        <w:fldChar w:fldCharType="begin" w:fldLock="1"/>
      </w:r>
      <w:r w:rsidR="00310DED">
        <w:instrText>ADDIN CSL_CITATION {"citationItems":[{"id":"ITEM-1","itemData":{"DOI":"10.1007/s13347-017-0261-7","ISSN":"22105441","abstract":"This special issue introduces the study of financial technologies and finance to the field of philosophy of technology, bringing together two different fields that have not traditionally been in dialogue. The included articles are: Digital Art as ‘Monetised Graphics’: Enforcing Intellectual Property on the Blockchain, by Martin Zeilinger; Fundamentals of Algorithmic Markets: Liquidity, Contingency, and the Incomputability of Exchange, by Laura Lotti; ‘Crises of Modernity’ Discourses and the Rise of Financial Technologies in a Contested Mechanized World, by Marinus Ossewaarde; Two Technical Images: Blockchain and High-Frequency Trading, by Diego Viana; and The Blockchain as a Narrative Technology: Investigating the Social Ontology and Normative Configurations of Cryptocurrencies, by Wessel Reijers and Mark Coeckelbergh.","author":[{"dropping-particle":"","family":"Coeckelbergh","given":"Mark","non-dropping-particle":"","parse-names":false,"suffix":""},{"dropping-particle":"","family":"DuPont","given":"Quinn","non-dropping-particle":"","parse-names":false,"suffix":""},{"dropping-particle":"","family":"Reijers","given":"Wessel","non-dropping-particle":"","parse-names":false,"suffix":""}],"container-title":"Philosophy and Technology","id":"ITEM-1","issue":"1","issued":{"date-parts":[["2018"]]},"page":"9-14","publisher":"Philosophy &amp; Technology","title":"Towards a Philosophy of Financial Technologies","type":"article-journal","volume":"31"},"uris":["http://www.mendeley.com/documents/?uuid=58b6e465-5d9c-4e47-a7a3-464fb10638f5"]}],"mendeley":{"formattedCitation":"[19]","plainTextFormattedCitation":"[19]","previouslyFormattedCitation":"[19]"},"properties":{"noteIndex":0},"schema":"https://github.com/citation-style-language/schema/raw/master/csl-citation.json"}</w:instrText>
      </w:r>
      <w:r w:rsidRPr="00412880">
        <w:fldChar w:fldCharType="separate"/>
      </w:r>
      <w:r w:rsidR="00227A76" w:rsidRPr="00227A76">
        <w:rPr>
          <w:noProof/>
        </w:rPr>
        <w:t>[19]</w:t>
      </w:r>
      <w:r w:rsidRPr="00412880">
        <w:fldChar w:fldCharType="end"/>
      </w:r>
      <w:r w:rsidRPr="00412880">
        <w:t xml:space="preserve">. FinTech is a </w:t>
      </w:r>
      <w:r w:rsidR="008565AF">
        <w:t>mix</w:t>
      </w:r>
      <w:r w:rsidRPr="00412880">
        <w:t xml:space="preserve"> of financial services and products with a technology platform by leveraging innovative business models </w:t>
      </w:r>
      <w:r w:rsidRPr="00412880">
        <w:fldChar w:fldCharType="begin" w:fldLock="1"/>
      </w:r>
      <w:r w:rsidR="00310DED">
        <w:instrText>ADDIN CSL_CITATION {"citationItems":[{"id":"ITEM-1","itemData":{"DOI":"10.1088/1755-1315/175/1/012204","ISSN":"17551315","abstract":"The global financial services sector is transforming as technology advances. Various types of technology based innovative financial business models or financial technology (fin-tech) are growing rapidly around the world, including Indonesia. The Financial Stability Board (FSB) incorporates the fin-tech progress in its work plan in 2017 in the perspective of financial stability. In Indonesia, the Financial Services Authority has issued the Financial Services Authority Regulation No: 77/FSAR.01/2016 on Technology-Based Lending and Borrowing Services to provide a legal basis for fin-tech activities, in particular services with peer to peer lending models. In practice, fin-tech in Indonesia is not only used to facilitate lending and borrowing, but also used for other business models, especially start-up business, investment and social activities, which are not included in the scope of lending and borrowing. On the other hand, fin-tech development in Indonesia is expected to contribute to economic development, particularly in facilitating micro, small and medium enterprises to gain access to finance. The advantages of fin-tech include cost efficiency and ease of access to finance, but on the other hand there are some obstacles and risks that potentially arise, such as credit risk, insufficient technology, misuse of funds and user/consumer data and protection of national interests such as money laundering as well as disruption to monetary stability. Therefore, in addition to the need for comprehensive regulation, supervisory aspects by the financial services authorities are urgently needed to make fin-tech a part of the financial services sector.","author":[{"dropping-particle":"","family":"Abubakar","given":"Lastuti","non-dropping-particle":"","parse-names":false,"suffix":""},{"dropping-particle":"","family":"Handayani","given":"Tri","non-dropping-particle":"","parse-names":false,"suffix":""}],"container-title":"IOP Conference Series: Earth and Environmental Science","id":"ITEM-1","issue":"1","issued":{"date-parts":[["2018"]]},"title":"Financial Technology: Legal Challenges for Indonesia Financial Sector","type":"article-journal","volume":"175"},"uris":["http://www.mendeley.com/documents/?uuid=2eab1c91-7075-4344-aca4-79ca718f2508"]}],"mendeley":{"formattedCitation":"[20]","plainTextFormattedCitation":"[20]","previouslyFormattedCitation":"[20]"},"properties":{"noteIndex":0},"schema":"https://github.com/citation-style-language/schema/raw/master/csl-citation.json"}</w:instrText>
      </w:r>
      <w:r w:rsidRPr="00412880">
        <w:fldChar w:fldCharType="separate"/>
      </w:r>
      <w:r w:rsidR="00227A76" w:rsidRPr="00227A76">
        <w:rPr>
          <w:noProof/>
        </w:rPr>
        <w:t>[20]</w:t>
      </w:r>
      <w:r w:rsidRPr="00412880">
        <w:fldChar w:fldCharType="end"/>
      </w:r>
      <w:r w:rsidRPr="00412880">
        <w:t>. In general, FinTech can be classified into Payment Technology (</w:t>
      </w:r>
      <w:proofErr w:type="spellStart"/>
      <w:r w:rsidRPr="00412880">
        <w:t>PayTech</w:t>
      </w:r>
      <w:proofErr w:type="spellEnd"/>
      <w:r w:rsidRPr="00412880">
        <w:t>), Banking Technology (</w:t>
      </w:r>
      <w:proofErr w:type="spellStart"/>
      <w:r w:rsidRPr="00412880">
        <w:t>BankTech</w:t>
      </w:r>
      <w:proofErr w:type="spellEnd"/>
      <w:r w:rsidRPr="00412880">
        <w:t>), Wealth Technology (</w:t>
      </w:r>
      <w:proofErr w:type="spellStart"/>
      <w:r w:rsidRPr="00412880">
        <w:t>WealthTech</w:t>
      </w:r>
      <w:proofErr w:type="spellEnd"/>
      <w:r w:rsidRPr="00412880">
        <w:t>), Insurance Technology (Insurtech), and Regulation Technology (</w:t>
      </w:r>
      <w:proofErr w:type="spellStart"/>
      <w:r w:rsidRPr="00412880">
        <w:t>RegTech</w:t>
      </w:r>
      <w:proofErr w:type="spellEnd"/>
      <w:r w:rsidRPr="00412880">
        <w:t xml:space="preserve">) </w:t>
      </w:r>
      <w:r w:rsidRPr="00412880">
        <w:fldChar w:fldCharType="begin" w:fldLock="1"/>
      </w:r>
      <w:r w:rsidR="00310DED">
        <w:instrText>ADDIN CSL_CITATION {"citationItems":[{"id":"ITEM-1","itemData":{"DOI":"10.1007/s11156-020-00883-z","ISBN":"0123456789","ISSN":"15737179","abstract":"Based upon my experience in research, teaching, writing textbooks, and editing handbooks and journals, this review paper discusses how financial econometrics, mathematics, statistics, and financial technology can be used in research and teaching for students majoring in quantitative finance. A major portion of this paper discusses essential content of Lee and Lee (Handbook of financial econometrics, mathematics, statistics, and machine learning, World Scientific, Singapore, 2020). Then Lee (From east to west: memoirs of a finance professor on academia, practice, and policy, World Scientific, Singapore, 2017), Lee et al. (Financial econometrics, mathematics and statistics, Springer, New York, 2019a; Machine learning for predicting default of credit card holders and success of kickstarters. Working paper, 2019b), and Lee and Lee (Handbook of financial econometrics and statistics, Springer, New York, 2015) are used to enhance the content of this paper. In addition, important and relevant papers, which have been published in different journals are also used to support the issues discussed in this paper. I have found the applications of financial econometrics, mathematics, statistics, and technology have improved drastically over the last five decades. Therefore, both practitioners and academicians need to update their skills in this area to compete in both financial market and academic research.","author":[{"dropping-particle":"","family":"Lee","given":"Cheng Few","non-dropping-particle":"","parse-names":false,"suffix":""}],"container-title":"Review of Quantitative Finance and Accounting","id":"ITEM-1","issue":"4","issued":{"date-parts":[["2020"]]},"number-of-pages":"1529-1578","publisher":"Springer US","title":"Financial econometrics, mathematics, statistics, and financial technology: an overall view","type":"book","volume":"54"},"uris":["http://www.mendeley.com/documents/?uuid=e7b73b87-9d17-4f81-bd70-f99ceb571cd5"]}],"mendeley":{"formattedCitation":"[21]","plainTextFormattedCitation":"[21]","previouslyFormattedCitation":"[21]"},"properties":{"noteIndex":0},"schema":"https://github.com/citation-style-language/schema/raw/master/csl-citation.json"}</w:instrText>
      </w:r>
      <w:r w:rsidRPr="00412880">
        <w:fldChar w:fldCharType="separate"/>
      </w:r>
      <w:r w:rsidR="00227A76" w:rsidRPr="00227A76">
        <w:rPr>
          <w:noProof/>
        </w:rPr>
        <w:t>[21]</w:t>
      </w:r>
      <w:r w:rsidRPr="00412880">
        <w:fldChar w:fldCharType="end"/>
      </w:r>
      <w:r w:rsidRPr="00412880">
        <w:t xml:space="preserve">. </w:t>
      </w:r>
      <w:r w:rsidR="00362358" w:rsidRPr="00362358">
        <w:t>Meanwhile, in Indonesia, there are four categories of FinTech, namely</w:t>
      </w:r>
      <w:r w:rsidRPr="00412880">
        <w:t xml:space="preserve"> (1) deposit, lending, capital raising; (2) payment, clearing, settlement; (3) investment &amp; risk management; dan (4) market provisioning </w:t>
      </w:r>
      <w:r w:rsidRPr="00412880">
        <w:fldChar w:fldCharType="begin" w:fldLock="1"/>
      </w:r>
      <w:r w:rsidR="00310DED">
        <w:instrText>ADDIN CSL_CITATION {"citationItems":[{"id":"ITEM-1","itemData":{"DOI":"10.1088/1755-1315/175/1/012204","ISSN":"17551315","abstract":"The global financial services sector is transforming as technology advances. Various types of technology based innovative financial business models or financial technology (fin-tech) are growing rapidly around the world, including Indonesia. The Financial Stability Board (FSB) incorporates the fin-tech progress in its work plan in 2017 in the perspective of financial stability. In Indonesia, the Financial Services Authority has issued the Financial Services Authority Regulation No: 77/FSAR.01/2016 on Technology-Based Lending and Borrowing Services to provide a legal basis for fin-tech activities, in particular services with peer to peer lending models. In practice, fin-tech in Indonesia is not only used to facilitate lending and borrowing, but also used for other business models, especially start-up business, investment and social activities, which are not included in the scope of lending and borrowing. On the other hand, fin-tech development in Indonesia is expected to contribute to economic development, particularly in facilitating micro, small and medium enterprises to gain access to finance. The advantages of fin-tech include cost efficiency and ease of access to finance, but on the other hand there are some obstacles and risks that potentially arise, such as credit risk, insufficient technology, misuse of funds and user/consumer data and protection of national interests such as money laundering as well as disruption to monetary stability. Therefore, in addition to the need for comprehensive regulation, supervisory aspects by the financial services authorities are urgently needed to make fin-tech a part of the financial services sector.","author":[{"dropping-particle":"","family":"Abubakar","given":"Lastuti","non-dropping-particle":"","parse-names":false,"suffix":""},{"dropping-particle":"","family":"Handayani","given":"Tri","non-dropping-particle":"","parse-names":false,"suffix":""}],"container-title":"IOP Conference Series: Earth and Environmental Science","id":"ITEM-1","issue":"1","issued":{"date-parts":[["2018"]]},"title":"Financial Technology: Legal Challenges for Indonesia Financial Sector","type":"article-journal","volume":"175"},"uris":["http://www.mendeley.com/documents/?uuid=2eab1c91-7075-4344-aca4-79ca718f2508"]}],"mendeley":{"formattedCitation":"[20]","plainTextFormattedCitation":"[20]","previouslyFormattedCitation":"[20]"},"properties":{"noteIndex":0},"schema":"https://github.com/citation-style-language/schema/raw/master/csl-citation.json"}</w:instrText>
      </w:r>
      <w:r w:rsidRPr="00412880">
        <w:fldChar w:fldCharType="separate"/>
      </w:r>
      <w:r w:rsidR="00227A76" w:rsidRPr="00227A76">
        <w:rPr>
          <w:noProof/>
        </w:rPr>
        <w:t>[20]</w:t>
      </w:r>
      <w:r w:rsidRPr="00412880">
        <w:fldChar w:fldCharType="end"/>
      </w:r>
      <w:r w:rsidRPr="00412880">
        <w:t xml:space="preserve">. This research focuses on FinTech with the categories of deposit, lending, and capital rising. </w:t>
      </w:r>
    </w:p>
    <w:p w14:paraId="0BFB93EB" w14:textId="08DC8F2E" w:rsidR="00362358" w:rsidRDefault="00412880" w:rsidP="00362358">
      <w:pPr>
        <w:pStyle w:val="Isi"/>
        <w:spacing w:line="240" w:lineRule="auto"/>
        <w:ind w:firstLine="567"/>
      </w:pPr>
      <w:r w:rsidRPr="00412880">
        <w:t xml:space="preserve">The institution that serves as the payment system authority will encourage, assist FinTech innovation, and ensure the alignment of FinTech with policies in Indonesia is Bank Indonesia </w:t>
      </w:r>
      <w:r w:rsidRPr="00412880">
        <w:fldChar w:fldCharType="begin" w:fldLock="1"/>
      </w:r>
      <w:r w:rsidR="00310DED">
        <w:instrText>ADDIN CSL_CITATION {"citationItems":[{"id":"ITEM-1","itemData":{"DOI":"10.1088/1755-1315/175/1/012204","ISSN":"17551315","abstract":"The global financial services sector is transforming as technology advances. Various types of technology based innovative financial business models or financial technology (fin-tech) are growing rapidly around the world, including Indonesia. The Financial Stability Board (FSB) incorporates the fin-tech progress in its work plan in 2017 in the perspective of financial stability. In Indonesia, the Financial Services Authority has issued the Financial Services Authority Regulation No: 77/FSAR.01/2016 on Technology-Based Lending and Borrowing Services to provide a legal basis for fin-tech activities, in particular services with peer to peer lending models. In practice, fin-tech in Indonesia is not only used to facilitate lending and borrowing, but also used for other business models, especially start-up business, investment and social activities, which are not included in the scope of lending and borrowing. On the other hand, fin-tech development in Indonesia is expected to contribute to economic development, particularly in facilitating micro, small and medium enterprises to gain access to finance. The advantages of fin-tech include cost efficiency and ease of access to finance, but on the other hand there are some obstacles and risks that potentially arise, such as credit risk, insufficient technology, misuse of funds and user/consumer data and protection of national interests such as money laundering as well as disruption to monetary stability. Therefore, in addition to the need for comprehensive regulation, supervisory aspects by the financial services authorities are urgently needed to make fin-tech a part of the financial services sector.","author":[{"dropping-particle":"","family":"Abubakar","given":"Lastuti","non-dropping-particle":"","parse-names":false,"suffix":""},{"dropping-particle":"","family":"Handayani","given":"Tri","non-dropping-particle":"","parse-names":false,"suffix":""}],"container-title":"IOP Conference Series: Earth and Environmental Science","id":"ITEM-1","issue":"1","issued":{"date-parts":[["2018"]]},"title":"Financial Technology: Legal Challenges for Indonesia Financial Sector","type":"article-journal","volume":"175"},"uris":["http://www.mendeley.com/documents/?uuid=2eab1c91-7075-4344-aca4-79ca718f2508"]}],"mendeley":{"formattedCitation":"[20]","plainTextFormattedCitation":"[20]","previouslyFormattedCitation":"[20]"},"properties":{"noteIndex":0},"schema":"https://github.com/citation-style-language/schema/raw/master/csl-citation.json"}</w:instrText>
      </w:r>
      <w:r w:rsidRPr="00412880">
        <w:fldChar w:fldCharType="separate"/>
      </w:r>
      <w:r w:rsidR="00227A76" w:rsidRPr="00227A76">
        <w:rPr>
          <w:noProof/>
        </w:rPr>
        <w:t>[20]</w:t>
      </w:r>
      <w:r w:rsidRPr="00412880">
        <w:fldChar w:fldCharType="end"/>
      </w:r>
      <w:r w:rsidRPr="00412880">
        <w:t xml:space="preserve">.  Also, to support the development and innovation of FinTech, Bank Indonesia facilitates space for FinTech organizers to test services, products, technology, and business models through the Regulatory Sandbox </w:t>
      </w:r>
      <w:r w:rsidRPr="00412880">
        <w:fldChar w:fldCharType="begin" w:fldLock="1"/>
      </w:r>
      <w:r w:rsidR="00310DED">
        <w:instrText>ADDIN CSL_CITATION {"citationItems":[{"id":"ITEM-1","itemData":{"URL":"https://www.bi.go.id/id/sistem-pembayaran/fintech/Contents/default.aspx","accessed":{"date-parts":[["2020","8","19"]]},"author":[{"dropping-particle":"","family":"Bank Indonesia","given":"","non-dropping-particle":"","parse-names":false,"suffix":""}],"id":"ITEM-1","issued":{"date-parts":[["2017"]]},"title":"Teknologi Finansial","type":"webpage"},"uris":["http://www.mendeley.com/documents/?uuid=cc834901-1867-4f06-8d4e-33de39fd47f0"]}],"mendeley":{"formattedCitation":"[22]","plainTextFormattedCitation":"[22]","previouslyFormattedCitation":"[22]"},"properties":{"noteIndex":0},"schema":"https://github.com/citation-style-language/schema/raw/master/csl-citation.json"}</w:instrText>
      </w:r>
      <w:r w:rsidRPr="00412880">
        <w:fldChar w:fldCharType="separate"/>
      </w:r>
      <w:r w:rsidR="00227A76" w:rsidRPr="00227A76">
        <w:rPr>
          <w:noProof/>
        </w:rPr>
        <w:t>[22]</w:t>
      </w:r>
      <w:r w:rsidRPr="00412880">
        <w:fldChar w:fldCharType="end"/>
      </w:r>
      <w:r w:rsidRPr="00412880">
        <w:t xml:space="preserve">. Meanwhile, the Financial Services Authority (OJK) is an institution that oversees the activities of FinTech, which provides financing services </w:t>
      </w:r>
      <w:r w:rsidRPr="00412880">
        <w:fldChar w:fldCharType="begin" w:fldLock="1"/>
      </w:r>
      <w:r w:rsidR="00310DED">
        <w:instrText>ADDIN CSL_CITATION {"citationItems":[{"id":"ITEM-1","itemData":{"URL":"https://www.ojk.go.id/id/kanal/iknb/regulasi/lembaga-pembiayaan/regulasi-lembaga-pembiayaan/Default.aspx","accessed":{"date-parts":[["2020","8","19"]]},"author":[{"dropping-particle":"","family":"Otoritas Jasa Keuangan","given":"","non-dropping-particle":"","parse-names":false,"suffix":""}],"id":"ITEM-1","issued":{"date-parts":[["2017"]]},"title":"Regulasi Lembaga Pembiayaan","type":"webpage"},"uris":["http://www.mendeley.com/documents/?uuid=4cd6711b-c999-4b20-9236-e6d1e3c36d00"]}],"mendeley":{"formattedCitation":"[23]","plainTextFormattedCitation":"[23]","previouslyFormattedCitation":"[23]"},"properties":{"noteIndex":0},"schema":"https://github.com/citation-style-language/schema/raw/master/csl-citation.json"}</w:instrText>
      </w:r>
      <w:r w:rsidRPr="00412880">
        <w:fldChar w:fldCharType="separate"/>
      </w:r>
      <w:r w:rsidR="00227A76" w:rsidRPr="00227A76">
        <w:rPr>
          <w:noProof/>
        </w:rPr>
        <w:t>[23]</w:t>
      </w:r>
      <w:r w:rsidRPr="00412880">
        <w:fldChar w:fldCharType="end"/>
      </w:r>
      <w:r w:rsidRPr="00412880">
        <w:t xml:space="preserve">.  Based on data compiled from the OJK </w:t>
      </w:r>
      <w:r w:rsidRPr="00412880">
        <w:fldChar w:fldCharType="begin" w:fldLock="1"/>
      </w:r>
      <w:r w:rsidR="00310DED">
        <w:instrText>ADDIN CSL_CITATION {"citationItems":[{"id":"ITEM-1","itemData":{"URL":"https://www.ojk.go.id/id/kanal/iknb/financial-technology/Documents/FINTECH TERDAFTAR DAN BERIZIN PER 5 AGUSTUS 2020.pdf","accessed":{"date-parts":[["2020","8","19"]]},"author":[{"dropping-particle":"","family":"Otoritas Jasa Keuangan","given":"","non-dropping-particle":"","parse-names":false,"suffix":""}],"id":"ITEM-1","issued":{"date-parts":[["2020"]]},"title":"Penyelenggara Fintech Terdaftar dan Berizin di OJK per 5 Agustus 2020","type":"webpage"},"uris":["http://www.mendeley.com/documents/?uuid=4ce236bd-51be-4ea7-b2dd-9497861648dd"]}],"mendeley":{"formattedCitation":"[24]","plainTextFormattedCitation":"[24]","previouslyFormattedCitation":"[24]"},"properties":{"noteIndex":0},"schema":"https://github.com/citation-style-language/schema/raw/master/csl-citation.json"}</w:instrText>
      </w:r>
      <w:r w:rsidRPr="00412880">
        <w:fldChar w:fldCharType="separate"/>
      </w:r>
      <w:r w:rsidR="00227A76" w:rsidRPr="00227A76">
        <w:rPr>
          <w:noProof/>
        </w:rPr>
        <w:t>[24]</w:t>
      </w:r>
      <w:r w:rsidRPr="00412880">
        <w:fldChar w:fldCharType="end"/>
      </w:r>
      <w:r w:rsidRPr="00412880">
        <w:t xml:space="preserve"> in August 2020, 158 FinTech Lending registered with the OJK. Unfortunately, only 33 Fin</w:t>
      </w:r>
      <w:r w:rsidR="00310DED">
        <w:t>T</w:t>
      </w:r>
      <w:r w:rsidRPr="00412880">
        <w:t>ech had business licenses, while the rest had not.</w:t>
      </w:r>
    </w:p>
    <w:p w14:paraId="6F7302E9" w14:textId="774E2AEF" w:rsidR="00362358" w:rsidRDefault="00362358" w:rsidP="0031699D">
      <w:pPr>
        <w:pStyle w:val="Isi"/>
        <w:spacing w:line="240" w:lineRule="auto"/>
        <w:ind w:firstLine="567"/>
      </w:pPr>
      <w:r w:rsidRPr="00362358">
        <w:t>The following are the previous studies</w:t>
      </w:r>
      <w:r>
        <w:t xml:space="preserve"> about FinTech</w:t>
      </w:r>
      <w:r w:rsidRPr="00362358">
        <w:t xml:space="preserve"> that form the basis for the model developed in this study</w:t>
      </w:r>
      <w:r>
        <w:t>:</w:t>
      </w:r>
    </w:p>
    <w:p w14:paraId="12704C73" w14:textId="1293FC6C" w:rsidR="00362358" w:rsidRDefault="00362358" w:rsidP="00362358">
      <w:pPr>
        <w:pStyle w:val="Isi"/>
        <w:numPr>
          <w:ilvl w:val="0"/>
          <w:numId w:val="19"/>
        </w:numPr>
        <w:spacing w:line="240" w:lineRule="auto"/>
      </w:pPr>
      <w:r w:rsidRPr="002C303C">
        <w:t xml:space="preserve">Research conducted by </w:t>
      </w:r>
      <w:r w:rsidRPr="002049A0">
        <w:fldChar w:fldCharType="begin" w:fldLock="1"/>
      </w:r>
      <w:r w:rsidR="00310DED">
        <w:instrText>ADDIN CSL_CITATION {"citationItems":[{"id":"ITEM-1","itemData":{"ISBN":"9781538645710","author":[{"dropping-particle":"","family":"Indrawati; Dianty Anggraini Putri","given":"","non-dropping-particle":"","parse-names":false,"suffix":""}],"container-title":"2018 6th International Conference on Information and Communication Technology (ICoICT)","id":"ITEM-1","issued":{"date-parts":[["2018"]]},"page":"167-173","publisher":"IEEE","title":"Analyzing Factors Influencing Continuance Intention of E-Payment Adoption Using Modified UTAUT 2 Model","type":"article-journal"},"uris":["http://www.mendeley.com/documents/?uuid=2b5f28d8-cff7-4982-8218-47de6f011b25"]}],"mendeley":{"formattedCitation":"[25]","plainTextFormattedCitation":"[25]","previouslyFormattedCitation":"[25]"},"properties":{"noteIndex":0},"schema":"https://github.com/citation-style-language/schema/raw/master/csl-citation.json"}</w:instrText>
      </w:r>
      <w:r w:rsidRPr="002049A0">
        <w:fldChar w:fldCharType="separate"/>
      </w:r>
      <w:r w:rsidR="00227A76" w:rsidRPr="00227A76">
        <w:rPr>
          <w:noProof/>
        </w:rPr>
        <w:t>[25]</w:t>
      </w:r>
      <w:r w:rsidRPr="002049A0">
        <w:fldChar w:fldCharType="end"/>
      </w:r>
      <w:r w:rsidRPr="002049A0">
        <w:t xml:space="preserve"> </w:t>
      </w:r>
      <w:r w:rsidRPr="002C303C">
        <w:t>uses the UTAUT2 framework with Go-</w:t>
      </w:r>
      <w:r w:rsidR="00C723F6">
        <w:t>P</w:t>
      </w:r>
      <w:r w:rsidRPr="002C303C">
        <w:t xml:space="preserve">ay service users' perspective in Indonesia. This research analyzes the variables of Performance Expectancy, Effort Expectancy, Social Influence, Facilitating Condition, Price Saving Orientation, Hedonic Motivation, Habit, Trust, and Continuance Intention. </w:t>
      </w:r>
      <w:r w:rsidR="00A1064E" w:rsidRPr="00A1064E">
        <w:t>This study collected data from 507 Indonesian respondents. This study concludes that the factors that influence Go</w:t>
      </w:r>
      <w:r w:rsidR="00A1064E">
        <w:t>-</w:t>
      </w:r>
      <w:r w:rsidR="00C723F6">
        <w:t>P</w:t>
      </w:r>
      <w:r w:rsidR="00A1064E" w:rsidRPr="00A1064E">
        <w:t>ay adoption are Habit, Social Influence, Trust, Hedonic Motivation, Price Saving Orientation, and Performance Expectancy.</w:t>
      </w:r>
      <w:r w:rsidR="00C723F6">
        <w:t xml:space="preserve"> </w:t>
      </w:r>
      <w:r w:rsidR="00C723F6" w:rsidRPr="00C723F6">
        <w:t>The recommendation produced by this</w:t>
      </w:r>
      <w:r w:rsidR="007E792D">
        <w:t xml:space="preserve"> research</w:t>
      </w:r>
      <w:r w:rsidR="00C723F6" w:rsidRPr="00C723F6">
        <w:t xml:space="preserve"> to Go</w:t>
      </w:r>
      <w:r w:rsidR="007E792D">
        <w:t>-P</w:t>
      </w:r>
      <w:r w:rsidR="00C723F6" w:rsidRPr="00C723F6">
        <w:t xml:space="preserve">ay management is the need to set a priority scale for business strategy development on Go-Pay. </w:t>
      </w:r>
      <w:r w:rsidR="007B1A4C" w:rsidRPr="007B1A4C">
        <w:t>The recommendation produced by this study to Go</w:t>
      </w:r>
      <w:r w:rsidR="007E792D">
        <w:t>-P</w:t>
      </w:r>
      <w:r w:rsidR="007B1A4C" w:rsidRPr="007B1A4C">
        <w:t>ay management is the need to set a priority scale for business strategy development on Go-Pay. Besides that, Go-Pay must know the preferences of its users.</w:t>
      </w:r>
    </w:p>
    <w:p w14:paraId="3E0EE128" w14:textId="47B3EF05" w:rsidR="00362358" w:rsidRDefault="00362358" w:rsidP="001E067B">
      <w:pPr>
        <w:pStyle w:val="Isi"/>
        <w:numPr>
          <w:ilvl w:val="0"/>
          <w:numId w:val="19"/>
        </w:numPr>
        <w:spacing w:line="240" w:lineRule="auto"/>
      </w:pPr>
      <w:r w:rsidRPr="002C303C">
        <w:t>Research conducted by</w:t>
      </w:r>
      <w:r w:rsidRPr="002049A0">
        <w:t xml:space="preserve"> </w:t>
      </w:r>
      <w:r w:rsidRPr="002049A0">
        <w:fldChar w:fldCharType="begin" w:fldLock="1"/>
      </w:r>
      <w:r w:rsidR="00310DED">
        <w:instrText>ADDIN CSL_CITATION {"citationItems":[{"id":"ITEM-1","itemData":{"DOI":"10.1016/j.elerap.2016.07.001","ISSN":"15674223","abstract":"Although there is a large body of research on trust in e-commerce, a crucial gap is that extant studies have not examined the role of perceived enjoyment on trust in the presence of risk perception in Arab countries. In this paper, an online trust model is presented that exhibits the impact of four external factors (personal innovativeness, propensity to trust, familiarity, and presence of third-party seals) on the intention to use an online payment via the mediation of three endogenous variables (enjoyment, risk, and customer trust). The data was collected from Kuwait, an Arab country, with a mixed of data collection survey methods of 150 online questionnaires and 200 paper-based questionnaires. The data was then analyzed using partial least squares (PLS) regression. The findings revealed that customer trust and enjoyment are two important drivers of the online payment adoption, which neutralized risk perceptions. This study discusses these results as well as research and a managerial perspectives that could assist in enhancing online payment acceptance in Kuwait.","author":[{"dropping-particle":"","family":"Rouibah","given":"Kamel","non-dropping-particle":"","parse-names":false,"suffix":""},{"dropping-particle":"","family":"Lowry","given":"Paul Benjamin","non-dropping-particle":"","parse-names":false,"suffix":""},{"dropping-particle":"","family":"Hwang","given":"Yujong","non-dropping-particle":"","parse-names":false,"suffix":""}],"container-title":"Electronic Commerce Research and Applications","id":"ITEM-1","issued":{"date-parts":[["2016"]]},"page":"33-43","publisher":"Elsevier B.V.","title":"The effects of perceived enjoyment and perceived risks on trust formation and intentions to use online payment systems: New perspectives from an Arab country","type":"article-journal","volume":"19"},"uris":["http://www.mendeley.com/documents/?uuid=08e46099-ad52-4301-8f7b-72b1f4c540d7"]}],"mendeley":{"formattedCitation":"[26]","plainTextFormattedCitation":"[26]","previouslyFormattedCitation":"[26]"},"properties":{"noteIndex":0},"schema":"https://github.com/citation-style-language/schema/raw/master/csl-citation.json"}</w:instrText>
      </w:r>
      <w:r w:rsidRPr="002049A0">
        <w:fldChar w:fldCharType="separate"/>
      </w:r>
      <w:r w:rsidR="00227A76" w:rsidRPr="00227A76">
        <w:rPr>
          <w:noProof/>
        </w:rPr>
        <w:t>[26]</w:t>
      </w:r>
      <w:r w:rsidRPr="002049A0">
        <w:fldChar w:fldCharType="end"/>
      </w:r>
      <w:r w:rsidRPr="002049A0">
        <w:t xml:space="preserve"> </w:t>
      </w:r>
      <w:r w:rsidRPr="002C303C">
        <w:t>analyzed the use of the online payment, namely CashU.com, with Arab citizens' perspective</w:t>
      </w:r>
      <w:r w:rsidRPr="002049A0">
        <w:t xml:space="preserve">. </w:t>
      </w:r>
      <w:r w:rsidR="00B75863">
        <w:t xml:space="preserve"> </w:t>
      </w:r>
      <w:r w:rsidR="00561889" w:rsidRPr="00561889">
        <w:t xml:space="preserve">This research involved 350 online shoppers from Kuwait who have purchased products or services via the internet. This study analyzes the influence of Perceived Enjoyment, Customer Trust, and Perceived Risk on the intention to adopt CashU.com. This </w:t>
      </w:r>
      <w:r w:rsidR="007E792D">
        <w:t>research</w:t>
      </w:r>
      <w:r w:rsidR="00561889" w:rsidRPr="00561889">
        <w:t xml:space="preserve"> also examines the influence of Personal Innovativeness on Perceived Enjoyment and Customer Trust, the influence of Propensity Trust on Customer Trust, the effect of Familiarity on Customer Trust, the influence of Presence of Third-Party Seals on Customer Trust and Perceived Risk, and the influence of Perceived Enjoyment and Perceived Risk to Customer Trust.</w:t>
      </w:r>
      <w:r w:rsidR="00561889">
        <w:t xml:space="preserve"> </w:t>
      </w:r>
      <w:r w:rsidRPr="002C303C">
        <w:t>This research shows that Customer Trust and Perceived Enjoyment are proven to influence online payment adoption.</w:t>
      </w:r>
    </w:p>
    <w:p w14:paraId="0026D4B1" w14:textId="368489F5" w:rsidR="00362358" w:rsidRDefault="00362358" w:rsidP="001E067B">
      <w:pPr>
        <w:pStyle w:val="Isi"/>
        <w:numPr>
          <w:ilvl w:val="0"/>
          <w:numId w:val="19"/>
        </w:numPr>
        <w:spacing w:line="240" w:lineRule="auto"/>
      </w:pPr>
      <w:r w:rsidRPr="002C303C">
        <w:t>Besides, there is research conducted by</w:t>
      </w:r>
      <w:r w:rsidRPr="002049A0">
        <w:t xml:space="preserve"> </w:t>
      </w:r>
      <w:r w:rsidRPr="002049A0">
        <w:fldChar w:fldCharType="begin" w:fldLock="1"/>
      </w:r>
      <w:r w:rsidR="00310DED">
        <w:instrText>ADDIN CSL_CITATION {"citationItems":[{"id":"ITEM-1","itemData":{"DOI":"10.1108/QRFM-09-2018-0103","ISSN":"17554187","abstract":"Purpose: This study aims to examine the adoption of peer-to-peer (P2P) lending platforms to determine the factors that encourage SMEs to use P2P lending platforms in obtaining loans. Design/methodology/approach: A sample of ten SMEs from a variety of backgrounds was taken in Bandung, Indonesia. Bandung has been awarded the title of “creative city” by UNESCO, as the city allows for the development of the creative economy. This research used a semi-structured interview. Coding method was then used for content analysis to establish which factors emerging from the interview were leading respondents to obtain a loan through the P2P lending platform. Findings: The findings imply that loan processes, interest rates, loan costs, loan amounts and loan flexibility affect SMEs in obtaining a loan through P2P lending. Moreover, alternative payment schemes in the form of Sharia-based lending and profit-sharing schemes were found. These findings constituted the original findings of this study. Research limitations/implications: The study offers findings on factors affecting SMEs in using the P2P lending platform as a form of alternative financing. Moreover, the theoretical framework provided can be used as literature in future research. As this study was conducted in Bandung, Indonesia, the findings may not be generalisable to other regions. Originality/value: This study is one of the few studies that discusses P2P lending in Indonesia as the concept has been in practice only since 2015.","author":[{"dropping-particle":"","family":"Rosavina","given":"Monica","non-dropping-particle":"","parse-names":false,"suffix":""},{"dropping-particle":"","family":"Rahadi","given":"Raden Aswin","non-dropping-particle":"","parse-names":false,"suffix":""},{"dropping-particle":"","family":"Kitri","given":"Mandra Lazuardi","non-dropping-particle":"","parse-names":false,"suffix":""},{"dropping-particle":"","family":"Nuraeni","given":"Shimaditya","non-dropping-particle":"","parse-names":false,"suffix":""},{"dropping-particle":"","family":"Mayangsari","given":"Lidia","non-dropping-particle":"","parse-names":false,"suffix":""}],"container-title":"Qualitative Research in Financial Markets","id":"ITEM-1","issue":"2","issued":{"date-parts":[["2019"]]},"page":"260-279","title":"P2P lending adoption by SMEs in Indonesia","type":"article-journal","volume":"11"},"uris":["http://www.mendeley.com/documents/?uuid=4cc46e98-9afe-4c79-b8da-69d9993003bd"]}],"mendeley":{"formattedCitation":"[27]","plainTextFormattedCitation":"[27]","previouslyFormattedCitation":"[27]"},"properties":{"noteIndex":0},"schema":"https://github.com/citation-style-language/schema/raw/master/csl-citation.json"}</w:instrText>
      </w:r>
      <w:r w:rsidRPr="002049A0">
        <w:fldChar w:fldCharType="separate"/>
      </w:r>
      <w:r w:rsidR="00227A76" w:rsidRPr="00227A76">
        <w:rPr>
          <w:noProof/>
        </w:rPr>
        <w:t>[27]</w:t>
      </w:r>
      <w:r w:rsidRPr="002049A0">
        <w:fldChar w:fldCharType="end"/>
      </w:r>
      <w:r w:rsidRPr="002049A0">
        <w:t xml:space="preserve"> </w:t>
      </w:r>
      <w:r w:rsidRPr="002C303C">
        <w:t xml:space="preserve">with users' perspective of  FinTech Lending services in Indonesia. </w:t>
      </w:r>
      <w:r w:rsidR="007E792D" w:rsidRPr="007E792D">
        <w:t>This study aims to find the factors that influence the willingness of small and medium enterprises (SMEs) to cover peer-to-peer (P2P) lending as an alternative to financing. This study collected qualitative data obtained from ten respondents in Bandung using interviews.</w:t>
      </w:r>
      <w:r w:rsidR="007E792D">
        <w:t xml:space="preserve"> </w:t>
      </w:r>
      <w:r w:rsidRPr="002C303C">
        <w:t xml:space="preserve">This study's results are the Loan Process, Interest Rates, Loan Cost, Loan Amount, and Loan Flexibility, which affect the use of FinTech </w:t>
      </w:r>
      <w:r>
        <w:t>Lending</w:t>
      </w:r>
      <w:r w:rsidRPr="002C303C">
        <w:t xml:space="preserve"> Also, this study found an Alternative Payment Scheme for sharia-based lending</w:t>
      </w:r>
      <w:r w:rsidR="007E792D">
        <w:t xml:space="preserve">. </w:t>
      </w:r>
      <w:r w:rsidR="007E792D" w:rsidRPr="007E792D">
        <w:t>This research also provides recommendations for P2P lending operators that respondents will be interested in using their services if interest rates are low, Sharia-based loans, long payback periods, have a profit-sharing system, and get a rejection from banks.</w:t>
      </w:r>
    </w:p>
    <w:p w14:paraId="61C73D17" w14:textId="7EF8D6AB" w:rsidR="00362358" w:rsidRDefault="00362358" w:rsidP="006665F5">
      <w:pPr>
        <w:pStyle w:val="Isi"/>
        <w:numPr>
          <w:ilvl w:val="0"/>
          <w:numId w:val="19"/>
        </w:numPr>
        <w:spacing w:line="240" w:lineRule="auto"/>
      </w:pPr>
      <w:r w:rsidRPr="002C303C">
        <w:t>Research conducted by</w:t>
      </w:r>
      <w:r w:rsidRPr="002049A0">
        <w:t xml:space="preserve"> </w:t>
      </w:r>
      <w:r w:rsidRPr="002049A0">
        <w:fldChar w:fldCharType="begin" w:fldLock="1"/>
      </w:r>
      <w:r w:rsidR="00310DED">
        <w:instrText>ADDIN CSL_CITATION {"citationItems":[{"id":"ITEM-1","itemData":{"DOI":"10.1109/ICCED.2018.00026","ISBN":"9781538693780","abstract":"The focus of this study is to identify factors that affecting the desires of investors or lenders to invest in Indonesian Small Medium Enterprises (SMEs) through the service provider peer-To-peer lending (P2P lending). This is because there are P2P lending that could not raise funds amounts required by the borrower (SMEs) in full and within the given deadline. This research uses quantitative method using survey to 214 respondents and data is analyzed using Partial Least Square-Structural Equation Modeling (PLS-SEM) approach. Result of analysis from this research identified the factors that influence investors' desire to invest in Indonesian SMEs namely perceived risk and investor trust to P2P lending platform (platform trust). Perceived risk factors inversely proportional to the level of investors' desire to invest capital. While the platform factor is directly proportional to the desire of investors to invest capital. Thus, it can be concluded that the less risk potentially arise and the higher investors' confidence in the P2P lending platform, the higher the investors' desire to invest.","author":[{"dropping-particle":"","family":"Puteri","given":"Fatimah Shera","non-dropping-particle":"","parse-names":false,"suffix":""},{"dropping-particle":"","family":"Handayani","given":"Putu Wuri","non-dropping-particle":"","parse-names":false,"suffix":""},{"dropping-particle":"","family":"Azzahro","given":"Fatimah","non-dropping-particle":"","parse-names":false,"suffix":""},{"dropping-particle":"","family":"Pinem","given":"Ave Adriana","non-dropping-particle":"","parse-names":false,"suffix":""}],"container-title":"Proceedings - 2018 4th International Conference on Computing, Engineering, and Design, ICCED 2018","id":"ITEM-1","issued":{"date-parts":[["2019"]]},"page":"87-92","title":"Analysis of investor intention to invest capital in small and medium enterprises through peer-to-peer lending in Indonesia","type":"article-journal"},"uris":["http://www.mendeley.com/documents/?uuid=f8b7b9b5-4286-4397-bb89-5b67dbdac06e"]}],"mendeley":{"formattedCitation":"[28]","plainTextFormattedCitation":"[28]","previouslyFormattedCitation":"[28]"},"properties":{"noteIndex":0},"schema":"https://github.com/citation-style-language/schema/raw/master/csl-citation.json"}</w:instrText>
      </w:r>
      <w:r w:rsidRPr="002049A0">
        <w:fldChar w:fldCharType="separate"/>
      </w:r>
      <w:r w:rsidR="00227A76" w:rsidRPr="00227A76">
        <w:rPr>
          <w:noProof/>
        </w:rPr>
        <w:t>[28]</w:t>
      </w:r>
      <w:r w:rsidRPr="002049A0">
        <w:fldChar w:fldCharType="end"/>
      </w:r>
      <w:r w:rsidRPr="002049A0">
        <w:t xml:space="preserve"> </w:t>
      </w:r>
      <w:r w:rsidRPr="002C303C">
        <w:t xml:space="preserve">using an investor's perspective on </w:t>
      </w:r>
      <w:r w:rsidR="002E0A4D">
        <w:t xml:space="preserve"> P2P </w:t>
      </w:r>
      <w:r w:rsidRPr="002C303C">
        <w:t>lending-based FinTech services in Indonesia</w:t>
      </w:r>
      <w:r w:rsidR="00DF1D8D">
        <w:t xml:space="preserve">. </w:t>
      </w:r>
      <w:r w:rsidR="006665F5">
        <w:t xml:space="preserve">This study involved participation from 214 SMEs in Indonesia using survey techniques. The results of the study were analyzed using PLS-SEM. This study's results are the factors that influence the desire to invest in lending platforms are Familiarity, information quality from third-party borrowers, investor risk acceptance, fund-raising projects, and trust on P2P lending platforms. The conclusion is that investors will use the service if the risk owned by the borrower is small. Also, investors will be attracted if the loan project type is fund-raising. </w:t>
      </w:r>
    </w:p>
    <w:p w14:paraId="3D613950" w14:textId="57E9C3FD" w:rsidR="00A37C87" w:rsidRDefault="00362358" w:rsidP="001E067B">
      <w:pPr>
        <w:pStyle w:val="Isi"/>
        <w:numPr>
          <w:ilvl w:val="0"/>
          <w:numId w:val="19"/>
        </w:numPr>
        <w:spacing w:line="240" w:lineRule="auto"/>
      </w:pPr>
      <w:r w:rsidRPr="002C303C">
        <w:t>Research conducted by</w:t>
      </w:r>
      <w:r w:rsidRPr="002049A0">
        <w:t xml:space="preserve"> </w:t>
      </w:r>
      <w:r w:rsidRPr="002049A0">
        <w:fldChar w:fldCharType="begin" w:fldLock="1"/>
      </w:r>
      <w:r w:rsidR="00310DED">
        <w:instrText>ADDIN CSL_CITATION {"citationItems":[{"id":"ITEM-1","itemData":{"DOI":"10.1108/IntR-11-2016-0359","ISBN":"1120160359","ISSN":"10662243","abstract":"Purpose: The purpose of this paper is to investigate the mechanism of building trust during the transition from online payment to mobile payment, as well as to examine the effect of trust on the satisfaction and continuance intention of mobile payment users. Based on trust transfer theory, this study proposes that trust in online payment (i.e. trust in source) and two source-target relationship factors, namely, perceived similarity and entitativity, affect trust in mobile payment (i.e. trust in target). In turn, the resulting trust influences user satisfaction and continuance intention toward mobile payment in an online-mobile payment context. Design/methodology/approach: The model was empirically tested on data collected from 219 mobile payment users of a famous payment enterprise in China. Findings: The results indicated that the trust transfer process positively influences the continuance intention of mobile payment through satisfaction. Satisfaction is an important factor affecting continuance intention. Moreover, trust in online payment, perceived similarity, and perceived entitativity between online and mobile payments can positively influence trust in mobile payment. Originality/value: This study investigates the post-adoption usage of mobile payment from the trust transfer perspective. It focuses on the trust-building process and emphasizes the importance of trust on the continuance intention toward mobile payment in an online-mobile payment context.","author":[{"dropping-particle":"","family":"Cao","given":"Xiongfei","non-dropping-particle":"","parse-names":false,"suffix":""},{"dropping-particle":"","family":"Yu","given":"Lingling","non-dropping-particle":"","parse-names":false,"suffix":""},{"dropping-particle":"","family":"Liu","given":"Zhiying","non-dropping-particle":"","parse-names":false,"suffix":""},{"dropping-particle":"","family":"Gong","given":"Mingchuan","non-dropping-particle":"","parse-names":false,"suffix":""},{"dropping-particle":"","family":"Adeel","given":"Luqman","non-dropping-particle":"","parse-names":false,"suffix":""}],"container-title":"Internet Research","id":"ITEM-1","issue":"2","issued":{"date-parts":[["2018"]]},"page":"456-476","title":"Understanding mobile payment users’ continuance intention: a trust transfer perspective","type":"article-journal","volume":"28"},"uris":["http://www.mendeley.com/documents/?uuid=5bb3aeef-30fc-41f4-bd52-15f912e570c2"]}],"mendeley":{"formattedCitation":"[29]","plainTextFormattedCitation":"[29]","previouslyFormattedCitation":"[29]"},"properties":{"noteIndex":0},"schema":"https://github.com/citation-style-language/schema/raw/master/csl-citation.json"}</w:instrText>
      </w:r>
      <w:r w:rsidRPr="002049A0">
        <w:fldChar w:fldCharType="separate"/>
      </w:r>
      <w:r w:rsidR="00227A76" w:rsidRPr="00227A76">
        <w:rPr>
          <w:noProof/>
        </w:rPr>
        <w:t>[29]</w:t>
      </w:r>
      <w:r w:rsidRPr="002049A0">
        <w:fldChar w:fldCharType="end"/>
      </w:r>
      <w:r w:rsidRPr="002049A0">
        <w:t xml:space="preserve"> </w:t>
      </w:r>
      <w:r w:rsidRPr="002C303C">
        <w:t xml:space="preserve">analyzed the </w:t>
      </w:r>
      <w:r>
        <w:t>C</w:t>
      </w:r>
      <w:r w:rsidRPr="002C303C">
        <w:t xml:space="preserve">ontinuance </w:t>
      </w:r>
      <w:r>
        <w:t>I</w:t>
      </w:r>
      <w:r w:rsidRPr="002C303C">
        <w:t xml:space="preserve">ntention of famous mobile payments in China. The result of this research is that the </w:t>
      </w:r>
      <w:r w:rsidR="00A37C87">
        <w:t xml:space="preserve">trust process from online to mobile payments </w:t>
      </w:r>
      <w:r w:rsidRPr="002C303C">
        <w:t xml:space="preserve">positively affects the continuation of Continuance Intention on mobile payments through Satisfaction. </w:t>
      </w:r>
      <w:r w:rsidR="001E067B">
        <w:t xml:space="preserve">In this research, </w:t>
      </w:r>
      <w:r w:rsidRPr="002C303C">
        <w:t xml:space="preserve">Satisfaction is an essential factor </w:t>
      </w:r>
      <w:r w:rsidR="001E067B">
        <w:t>influencing</w:t>
      </w:r>
      <w:r w:rsidRPr="002C303C">
        <w:t xml:space="preserve"> continuance intention. </w:t>
      </w:r>
      <w:r w:rsidR="001E067B">
        <w:t xml:space="preserve">The results of the research confirm that </w:t>
      </w:r>
      <w:r w:rsidR="001E067B" w:rsidRPr="002C303C">
        <w:t>Perceived Similarity</w:t>
      </w:r>
      <w:r w:rsidR="001E067B">
        <w:t>, T</w:t>
      </w:r>
      <w:r w:rsidRPr="002C303C">
        <w:t xml:space="preserve">rust in Online Payment, and Perceived Entitativity </w:t>
      </w:r>
      <w:r w:rsidR="008565AF">
        <w:t>among</w:t>
      </w:r>
      <w:r w:rsidRPr="002C303C">
        <w:t xml:space="preserve"> online and mobile payment can affect Trust in Online Payment</w:t>
      </w:r>
      <w:r>
        <w:t>.</w:t>
      </w:r>
      <w:r w:rsidR="00A37C87">
        <w:t xml:space="preserve"> </w:t>
      </w:r>
      <w:r w:rsidR="00A37C87" w:rsidRPr="00A37C87">
        <w:t xml:space="preserve">This </w:t>
      </w:r>
      <w:r w:rsidR="008565AF">
        <w:t>research</w:t>
      </w:r>
      <w:r w:rsidR="00A37C87" w:rsidRPr="00A37C87">
        <w:t xml:space="preserve"> provides suggestions for FinTech service providers to support the service transition process online to mobile payment.</w:t>
      </w:r>
      <w:r w:rsidR="00A37C87">
        <w:t xml:space="preserve"> </w:t>
      </w:r>
    </w:p>
    <w:p w14:paraId="2265ACC4" w14:textId="385F831F" w:rsidR="00362358" w:rsidRDefault="00362358" w:rsidP="001E067B">
      <w:pPr>
        <w:pStyle w:val="Isi"/>
        <w:numPr>
          <w:ilvl w:val="0"/>
          <w:numId w:val="19"/>
        </w:numPr>
        <w:spacing w:line="240" w:lineRule="auto"/>
      </w:pPr>
      <w:r w:rsidRPr="002C303C">
        <w:t>The research conducted by</w:t>
      </w:r>
      <w:r w:rsidRPr="002049A0">
        <w:t xml:space="preserve"> </w:t>
      </w:r>
      <w:r w:rsidRPr="002049A0">
        <w:fldChar w:fldCharType="begin" w:fldLock="1"/>
      </w:r>
      <w:r w:rsidR="00310DED">
        <w:instrText>ADDIN CSL_CITATION {"citationItems":[{"id":"ITEM-1","itemData":{"DOI":"10.1109/ICIMTech.2019.8843803","ISBN":"9781728133331","abstract":"Purpose of this research is to explores the factors that influence the intention to adopt Peer to Peer Lending Service Platform based on the Technology Acceptance Model with trust, credibility, perceived benefit, and perceived risk as additional factors. Structural Equation Model used as statistical test with SmartPLS 3.0 software. The sampling technique is quota sampling. Data source in this research is primary data with 1000 respondents who have accessed fintech Peer to Peer lending also using services provided recently. The results of statistical analysis using PLS-SEM demonstrated that perceived benefit, trust, usefulness and ease of use had significant impect to the intention to choosing fintech lending services.","author":[{"dropping-particle":"","family":"Kurniawan","given":"Roy","non-dropping-particle":"","parse-names":false,"suffix":""}],"container-title":"Proceedings of 2019 International Conference on Information Management and Technology, ICIMTech 2019","id":"ITEM-1","issued":{"date-parts":[["2019"]]},"page":"432-437","publisher":"IEEE","title":"Examination of the Factors Contributing to Financial Technology Adoption in Indonesia using Technology Acceptance Model: Case Study of Peer to Peer Lending Service Platform","type":"article-journal","volume":"1"},"uris":["http://www.mendeley.com/documents/?uuid=7478afc4-5e82-4f0b-80c7-21f9ef6f5ce6"]}],"mendeley":{"formattedCitation":"[30]","plainTextFormattedCitation":"[30]","previouslyFormattedCitation":"[30]"},"properties":{"noteIndex":0},"schema":"https://github.com/citation-style-language/schema/raw/master/csl-citation.json"}</w:instrText>
      </w:r>
      <w:r w:rsidRPr="002049A0">
        <w:fldChar w:fldCharType="separate"/>
      </w:r>
      <w:r w:rsidR="00227A76" w:rsidRPr="00227A76">
        <w:rPr>
          <w:noProof/>
        </w:rPr>
        <w:t>[30]</w:t>
      </w:r>
      <w:r w:rsidRPr="002049A0">
        <w:fldChar w:fldCharType="end"/>
      </w:r>
      <w:r w:rsidRPr="002049A0">
        <w:t xml:space="preserve"> </w:t>
      </w:r>
      <w:r w:rsidRPr="002C303C">
        <w:t xml:space="preserve">analyzed income from FinTech based on borrowing using the </w:t>
      </w:r>
      <w:r w:rsidR="00CE79E0">
        <w:t xml:space="preserve">Extended </w:t>
      </w:r>
      <w:r w:rsidRPr="002C303C">
        <w:t>TAM framework in Indonesia.</w:t>
      </w:r>
      <w:r w:rsidR="00B36CC5">
        <w:t xml:space="preserve"> </w:t>
      </w:r>
      <w:r w:rsidR="009A1501" w:rsidRPr="009A1501">
        <w:t>This study involved 1000 respondents who had used P2P lending services. The results of this study were analyzed using PLS-SEM. This study's results are Perceived Benefits, Trust, Usefulness, and Ease of Use affect Behavior Intention to Use in lending-based FinTech in Indonesia. This research also proves that risk and creativity have an impact on P2P lending adoption. This research also provides recommendations to determine the right media to advertise. Besides, it is essential for management to continue to innovate to improve ease of use, usefulness, and trust in its services</w:t>
      </w:r>
      <w:r w:rsidR="009A1501">
        <w:t>.</w:t>
      </w:r>
    </w:p>
    <w:p w14:paraId="0EAD1E07" w14:textId="0C2F5B78" w:rsidR="00362358" w:rsidRPr="009A1501" w:rsidRDefault="009A1501" w:rsidP="00362358">
      <w:pPr>
        <w:pStyle w:val="Isi"/>
        <w:spacing w:line="240" w:lineRule="auto"/>
      </w:pPr>
      <w:r w:rsidRPr="009A1501">
        <w:t xml:space="preserve">Based on previous studies, this study will evaluate the influence of several factors such as Trust </w:t>
      </w:r>
      <w:r>
        <w:t xml:space="preserve"> in Online Lending Platform, </w:t>
      </w:r>
      <w:r w:rsidRPr="009A1501">
        <w:t xml:space="preserve"> Security, Familiarity, Interest Rate, and Personal Innovativeness on the </w:t>
      </w:r>
      <w:r w:rsidR="004F5B0D">
        <w:t>adoption</w:t>
      </w:r>
      <w:r w:rsidRPr="009A1501">
        <w:t xml:space="preserve"> of FinTech Lending in Indonesia. </w:t>
      </w:r>
      <w:r w:rsidR="00020230" w:rsidRPr="00A41321">
        <w:rPr>
          <w:lang w:val="en-ID"/>
        </w:rPr>
        <w:t xml:space="preserve">The factors that will be </w:t>
      </w:r>
      <w:r w:rsidR="00020230">
        <w:rPr>
          <w:lang w:val="en-ID"/>
        </w:rPr>
        <w:t>evaluated</w:t>
      </w:r>
      <w:r w:rsidR="00020230" w:rsidRPr="00A41321">
        <w:rPr>
          <w:lang w:val="en-ID"/>
        </w:rPr>
        <w:t xml:space="preserve"> come from the opportunities and problems found in FinTech Lending in Indonesia</w:t>
      </w:r>
      <w:r w:rsidR="00020230">
        <w:rPr>
          <w:lang w:val="en-ID"/>
        </w:rPr>
        <w:t xml:space="preserve">. </w:t>
      </w:r>
      <w:r w:rsidRPr="009A1501">
        <w:t xml:space="preserve">This study will use the perspective of borrowers on FinTech Lending services. </w:t>
      </w:r>
      <w:r w:rsidR="00F25565" w:rsidRPr="00F25565">
        <w:t>This study collected survey data from individual</w:t>
      </w:r>
      <w:r w:rsidR="00020230">
        <w:t xml:space="preserve"> users</w:t>
      </w:r>
      <w:r w:rsidR="00F25565" w:rsidRPr="00F25565">
        <w:t xml:space="preserve"> of FinTech services in Indonesia.</w:t>
      </w:r>
      <w:r w:rsidR="00F25565">
        <w:t xml:space="preserve"> </w:t>
      </w:r>
      <w:r w:rsidRPr="009A1501">
        <w:t>Also, this research produces recommendations for improving FinTech Lending services in Indonesia</w:t>
      </w:r>
      <w:r>
        <w:t xml:space="preserve"> based on </w:t>
      </w:r>
      <w:r w:rsidRPr="009A1501">
        <w:t>borrowers’ perspective.</w:t>
      </w:r>
      <w:r w:rsidR="00F25565">
        <w:t xml:space="preserve"> </w:t>
      </w:r>
    </w:p>
    <w:p w14:paraId="4B01E1BA" w14:textId="77777777" w:rsidR="00F17642" w:rsidRPr="00BF06EA" w:rsidRDefault="00F17642" w:rsidP="0031699D">
      <w:pPr>
        <w:pStyle w:val="SubJudul"/>
        <w:spacing w:before="100" w:after="100"/>
        <w:ind w:left="284" w:hanging="284"/>
      </w:pPr>
      <w:r w:rsidRPr="0031699D">
        <w:t>Method</w:t>
      </w:r>
    </w:p>
    <w:p w14:paraId="5D2CFC9E" w14:textId="04536714" w:rsidR="00CC4CA7" w:rsidRDefault="00D91F57" w:rsidP="006771A2">
      <w:pPr>
        <w:pStyle w:val="Isi"/>
        <w:spacing w:line="240" w:lineRule="auto"/>
      </w:pPr>
      <w:r w:rsidRPr="00D91F57">
        <w:t xml:space="preserve">In this study, a series of stages were carried out to carry out the research. The series of stages starts from problem identification to forming recommendations for FinTech Lending. The stages of the research are shown in Figure </w:t>
      </w:r>
      <w:r w:rsidR="009A1501">
        <w:t>1</w:t>
      </w:r>
      <w:r w:rsidRPr="00D91F57">
        <w:t>.</w:t>
      </w:r>
      <w:r w:rsidR="009A1501">
        <w:t xml:space="preserve"> </w:t>
      </w:r>
      <w:r w:rsidR="009A1501" w:rsidRPr="009A1501">
        <w:t xml:space="preserve">Based on Figure 1, this research </w:t>
      </w:r>
      <w:r w:rsidR="001E067B">
        <w:t>subsists</w:t>
      </w:r>
      <w:r w:rsidR="009A1501" w:rsidRPr="009A1501">
        <w:t xml:space="preserve"> of seven stages, namely: problem </w:t>
      </w:r>
      <w:r w:rsidR="00D4455C">
        <w:t>recognition</w:t>
      </w:r>
      <w:r w:rsidR="009A1501" w:rsidRPr="009A1501">
        <w:t xml:space="preserve">, literature review, model formulation, questionnaire </w:t>
      </w:r>
      <w:r w:rsidR="009A661A">
        <w:t>arrangement</w:t>
      </w:r>
      <w:r w:rsidR="009A1501" w:rsidRPr="009A1501">
        <w:t xml:space="preserve">, data </w:t>
      </w:r>
      <w:r w:rsidR="009A661A">
        <w:t>compilation</w:t>
      </w:r>
      <w:r w:rsidR="009A1501" w:rsidRPr="009A1501">
        <w:t>, data processing &amp; analysis, and preparation of recommendations.</w:t>
      </w:r>
    </w:p>
    <w:p w14:paraId="1276705C" w14:textId="41F50001" w:rsidR="004F5584" w:rsidRDefault="009A661A" w:rsidP="009A661A">
      <w:pPr>
        <w:pStyle w:val="Isi"/>
        <w:spacing w:line="240" w:lineRule="auto"/>
        <w:jc w:val="center"/>
      </w:pPr>
      <w:r>
        <w:rPr>
          <w:noProof/>
        </w:rPr>
        <w:drawing>
          <wp:inline distT="0" distB="0" distL="0" distR="0" wp14:anchorId="5337E274" wp14:editId="73AB9FA3">
            <wp:extent cx="5373859" cy="1866177"/>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a:extLst>
                        <a:ext uri="{28A0092B-C50C-407E-A947-70E740481C1C}">
                          <a14:useLocalDpi xmlns:a14="http://schemas.microsoft.com/office/drawing/2010/main" val="0"/>
                        </a:ext>
                      </a:extLst>
                    </a:blip>
                    <a:srcRect l="5253" t="31252" r="4713" b="13176"/>
                    <a:stretch/>
                  </pic:blipFill>
                  <pic:spPr bwMode="auto">
                    <a:xfrm>
                      <a:off x="0" y="0"/>
                      <a:ext cx="5416982" cy="1881152"/>
                    </a:xfrm>
                    <a:prstGeom prst="rect">
                      <a:avLst/>
                    </a:prstGeom>
                    <a:noFill/>
                    <a:ln>
                      <a:noFill/>
                    </a:ln>
                    <a:extLst>
                      <a:ext uri="{53640926-AAD7-44D8-BBD7-CCE9431645EC}">
                        <a14:shadowObscured xmlns:a14="http://schemas.microsoft.com/office/drawing/2010/main"/>
                      </a:ext>
                    </a:extLst>
                  </pic:spPr>
                </pic:pic>
              </a:graphicData>
            </a:graphic>
          </wp:inline>
        </w:drawing>
      </w:r>
    </w:p>
    <w:p w14:paraId="62EDBA2B" w14:textId="745F4886" w:rsidR="00CC4CA7" w:rsidRPr="0031699D" w:rsidRDefault="004F5584" w:rsidP="0031699D">
      <w:pPr>
        <w:pStyle w:val="Isi"/>
        <w:spacing w:line="240" w:lineRule="auto"/>
        <w:jc w:val="center"/>
      </w:pPr>
      <w:r w:rsidRPr="0031699D">
        <w:t xml:space="preserve">Figure </w:t>
      </w:r>
      <w:r w:rsidR="009A1501" w:rsidRPr="0031699D">
        <w:t>1</w:t>
      </w:r>
      <w:r w:rsidRPr="0031699D">
        <w:t xml:space="preserve">. Research stages of FinTech Lending </w:t>
      </w:r>
      <w:r w:rsidR="0031699D">
        <w:t>I</w:t>
      </w:r>
      <w:r w:rsidRPr="0031699D">
        <w:t xml:space="preserve">ntention to </w:t>
      </w:r>
      <w:r w:rsidR="0031699D">
        <w:t>U</w:t>
      </w:r>
      <w:r w:rsidRPr="0031699D">
        <w:t>se</w:t>
      </w:r>
    </w:p>
    <w:p w14:paraId="43FF9371" w14:textId="03F4F093" w:rsidR="0031699D" w:rsidRPr="0031699D" w:rsidRDefault="004F5584" w:rsidP="0031699D">
      <w:pPr>
        <w:pStyle w:val="Subsubjudul"/>
        <w:spacing w:line="240" w:lineRule="auto"/>
        <w:ind w:left="567" w:hanging="567"/>
        <w:rPr>
          <w:i w:val="0"/>
          <w:color w:val="000000" w:themeColor="text1"/>
          <w:lang w:val="en-ID"/>
        </w:rPr>
      </w:pPr>
      <w:r w:rsidRPr="004F5584">
        <w:rPr>
          <w:i w:val="0"/>
          <w:color w:val="000000" w:themeColor="text1"/>
          <w:lang w:val="en-ID"/>
        </w:rPr>
        <w:t xml:space="preserve">Problem </w:t>
      </w:r>
      <w:r w:rsidR="00D4455C">
        <w:rPr>
          <w:i w:val="0"/>
          <w:color w:val="000000" w:themeColor="text1"/>
          <w:lang w:val="en-ID"/>
        </w:rPr>
        <w:t>Recognition</w:t>
      </w:r>
      <w:r w:rsidRPr="004F5584">
        <w:rPr>
          <w:i w:val="0"/>
          <w:color w:val="000000" w:themeColor="text1"/>
          <w:lang w:val="en-ID"/>
        </w:rPr>
        <w:t xml:space="preserve"> &amp; Literature Review</w:t>
      </w:r>
    </w:p>
    <w:p w14:paraId="18B807D3" w14:textId="7084F1CA" w:rsidR="004F5584" w:rsidRPr="004F5584" w:rsidRDefault="004F5584" w:rsidP="004F5584">
      <w:pPr>
        <w:pStyle w:val="Subsubjudul"/>
        <w:numPr>
          <w:ilvl w:val="0"/>
          <w:numId w:val="0"/>
        </w:numPr>
        <w:spacing w:line="240" w:lineRule="auto"/>
        <w:rPr>
          <w:b w:val="0"/>
          <w:bCs/>
          <w:i w:val="0"/>
          <w:color w:val="000000" w:themeColor="text1"/>
          <w:lang w:val="en-ID"/>
        </w:rPr>
      </w:pPr>
      <w:r w:rsidRPr="004F5584">
        <w:rPr>
          <w:b w:val="0"/>
          <w:bCs/>
          <w:i w:val="0"/>
          <w:color w:val="000000" w:themeColor="text1"/>
          <w:lang w:val="en-ID"/>
        </w:rPr>
        <w:t xml:space="preserve">Problem </w:t>
      </w:r>
      <w:r w:rsidR="00D4455C">
        <w:rPr>
          <w:b w:val="0"/>
          <w:bCs/>
          <w:i w:val="0"/>
          <w:color w:val="000000" w:themeColor="text1"/>
          <w:lang w:val="en-ID"/>
        </w:rPr>
        <w:t>recognition</w:t>
      </w:r>
      <w:r w:rsidRPr="004F5584">
        <w:rPr>
          <w:b w:val="0"/>
          <w:bCs/>
          <w:i w:val="0"/>
          <w:color w:val="000000" w:themeColor="text1"/>
          <w:lang w:val="en-ID"/>
        </w:rPr>
        <w:t xml:space="preserve"> is the first stage in this study. Activities carried out at this stage include interviews with two FinTech users based on Indonesia's lending, conducting data searches, and the latest information on FinTech Lending in Indonesia. The </w:t>
      </w:r>
      <w:r w:rsidR="00D4455C">
        <w:rPr>
          <w:b w:val="0"/>
          <w:bCs/>
          <w:i w:val="0"/>
          <w:color w:val="000000" w:themeColor="text1"/>
          <w:lang w:val="en-ID"/>
        </w:rPr>
        <w:t>recognition</w:t>
      </w:r>
      <w:r w:rsidRPr="004F5584">
        <w:rPr>
          <w:b w:val="0"/>
          <w:bCs/>
          <w:i w:val="0"/>
          <w:color w:val="000000" w:themeColor="text1"/>
          <w:lang w:val="en-ID"/>
        </w:rPr>
        <w:t xml:space="preserve"> of problems in this study includes the government's hope for increasing financial inclusion for people in Indonesia. However, this hope is still constrained by FinTech Lending which operates illegally and harms people who need loan funds. The presence of FinTech Lending that operates illegally can reduce the Indonesian people's confidence in legal FinTech. The next stage is a literature review that discusses theories that support research, such as FinTech and previous research related to acceptance of FinTech.</w:t>
      </w:r>
    </w:p>
    <w:p w14:paraId="55A035F3" w14:textId="340B836E" w:rsidR="004F5584" w:rsidRDefault="004F5584" w:rsidP="004F5584">
      <w:pPr>
        <w:pStyle w:val="Subsubjudul"/>
        <w:spacing w:line="240" w:lineRule="auto"/>
        <w:ind w:left="567" w:hanging="567"/>
        <w:rPr>
          <w:i w:val="0"/>
          <w:color w:val="000000" w:themeColor="text1"/>
          <w:lang w:val="en-ID"/>
        </w:rPr>
      </w:pPr>
      <w:r w:rsidRPr="004F5584">
        <w:rPr>
          <w:i w:val="0"/>
          <w:color w:val="000000" w:themeColor="text1"/>
          <w:lang w:val="en-ID"/>
        </w:rPr>
        <w:t>Model Formulation</w:t>
      </w:r>
    </w:p>
    <w:p w14:paraId="15AE4EB0" w14:textId="0BFDE861" w:rsidR="00B05AE3" w:rsidRPr="00885FA5" w:rsidRDefault="004F5584" w:rsidP="004F5584">
      <w:pPr>
        <w:pStyle w:val="SubJudul"/>
        <w:numPr>
          <w:ilvl w:val="0"/>
          <w:numId w:val="0"/>
        </w:numPr>
        <w:rPr>
          <w:b w:val="0"/>
          <w:bCs/>
          <w:szCs w:val="20"/>
        </w:rPr>
      </w:pPr>
      <w:r w:rsidRPr="004F5584">
        <w:rPr>
          <w:b w:val="0"/>
          <w:bCs/>
          <w:color w:val="000000" w:themeColor="text1"/>
          <w:szCs w:val="20"/>
        </w:rPr>
        <w:t xml:space="preserve">After </w:t>
      </w:r>
      <w:proofErr w:type="spellStart"/>
      <w:r w:rsidRPr="004F5584">
        <w:rPr>
          <w:b w:val="0"/>
          <w:bCs/>
          <w:color w:val="000000" w:themeColor="text1"/>
          <w:szCs w:val="20"/>
        </w:rPr>
        <w:t>analyzing</w:t>
      </w:r>
      <w:proofErr w:type="spellEnd"/>
      <w:r w:rsidRPr="004F5584">
        <w:rPr>
          <w:b w:val="0"/>
          <w:bCs/>
          <w:color w:val="000000" w:themeColor="text1"/>
          <w:szCs w:val="20"/>
        </w:rPr>
        <w:t xml:space="preserve"> theory and previous research, the next step is to develop a model. The model developed in this study uses proven previous research. The model containing variables will be tested to see the effect on Intention to Use (</w:t>
      </w:r>
      <w:r w:rsidRPr="00885FA5">
        <w:rPr>
          <w:b w:val="0"/>
          <w:bCs/>
          <w:szCs w:val="20"/>
        </w:rPr>
        <w:t>IU) of loan-based FinTech. These variables are Interest Rate (IR), Personal Innovativeness (PI), Security (SC), Trust in Online Lending Platform (TL), and Familiarity (FM).</w:t>
      </w:r>
      <w:r w:rsidR="0081678E">
        <w:rPr>
          <w:b w:val="0"/>
          <w:bCs/>
          <w:szCs w:val="20"/>
        </w:rPr>
        <w:t xml:space="preserve"> </w:t>
      </w:r>
      <w:r w:rsidRPr="00885FA5">
        <w:rPr>
          <w:b w:val="0"/>
          <w:bCs/>
          <w:szCs w:val="20"/>
        </w:rPr>
        <w:t xml:space="preserve"> </w:t>
      </w:r>
      <w:r w:rsidR="0081678E" w:rsidRPr="0081678E">
        <w:rPr>
          <w:b w:val="0"/>
          <w:bCs/>
          <w:szCs w:val="20"/>
        </w:rPr>
        <w:t xml:space="preserve">The research model developed in this </w:t>
      </w:r>
      <w:r w:rsidR="009A661A">
        <w:rPr>
          <w:b w:val="0"/>
          <w:bCs/>
          <w:szCs w:val="20"/>
        </w:rPr>
        <w:t>study</w:t>
      </w:r>
      <w:r w:rsidR="0081678E" w:rsidRPr="0081678E">
        <w:rPr>
          <w:b w:val="0"/>
          <w:bCs/>
          <w:szCs w:val="20"/>
        </w:rPr>
        <w:t xml:space="preserve"> is </w:t>
      </w:r>
      <w:r w:rsidR="009A661A">
        <w:rPr>
          <w:b w:val="0"/>
          <w:bCs/>
          <w:szCs w:val="20"/>
        </w:rPr>
        <w:t>presented</w:t>
      </w:r>
      <w:r w:rsidR="0081678E" w:rsidRPr="0081678E">
        <w:rPr>
          <w:b w:val="0"/>
          <w:bCs/>
          <w:szCs w:val="20"/>
        </w:rPr>
        <w:t xml:space="preserve"> in Figure 2</w:t>
      </w:r>
      <w:r w:rsidR="0081678E">
        <w:rPr>
          <w:b w:val="0"/>
          <w:bCs/>
          <w:szCs w:val="20"/>
        </w:rPr>
        <w:t xml:space="preserve">. </w:t>
      </w:r>
      <w:r w:rsidRPr="00885FA5">
        <w:rPr>
          <w:b w:val="0"/>
          <w:bCs/>
          <w:szCs w:val="20"/>
        </w:rPr>
        <w:t xml:space="preserve">There are 5 hypotheses developed in this study. </w:t>
      </w:r>
      <w:r w:rsidR="00885FA5" w:rsidRPr="00885FA5">
        <w:rPr>
          <w:b w:val="0"/>
          <w:bCs/>
          <w:szCs w:val="20"/>
        </w:rPr>
        <w:t>The following are five hypotheses designed in this study:</w:t>
      </w:r>
    </w:p>
    <w:p w14:paraId="6F7ABA56" w14:textId="349E9C70" w:rsidR="00B05AE3" w:rsidRPr="00B05AE3" w:rsidRDefault="00B05AE3" w:rsidP="00B05AE3">
      <w:pPr>
        <w:pStyle w:val="SubJudul"/>
        <w:numPr>
          <w:ilvl w:val="0"/>
          <w:numId w:val="20"/>
        </w:numPr>
        <w:rPr>
          <w:b w:val="0"/>
          <w:bCs/>
          <w:color w:val="000000" w:themeColor="text1"/>
          <w:szCs w:val="20"/>
        </w:rPr>
      </w:pPr>
      <w:r w:rsidRPr="00B05AE3">
        <w:rPr>
          <w:b w:val="0"/>
          <w:bCs/>
          <w:color w:val="000000" w:themeColor="text1"/>
          <w:szCs w:val="20"/>
        </w:rPr>
        <w:t xml:space="preserve">Interest rate is defined as the interest rate that must be paid by borrowers related to the risks managed by the bank by money lending </w:t>
      </w:r>
      <w:r w:rsidRPr="00B05AE3">
        <w:rPr>
          <w:b w:val="0"/>
          <w:bCs/>
          <w:color w:val="000000" w:themeColor="text1"/>
          <w:szCs w:val="20"/>
        </w:rPr>
        <w:fldChar w:fldCharType="begin" w:fldLock="1"/>
      </w:r>
      <w:r w:rsidR="00310DED">
        <w:rPr>
          <w:b w:val="0"/>
          <w:bCs/>
          <w:color w:val="000000" w:themeColor="text1"/>
          <w:szCs w:val="20"/>
        </w:rPr>
        <w:instrText>ADDIN CSL_CITATION {"citationItems":[{"id":"ITEM-1","itemData":{"DOI":"10.1108/QRFM-09-2018-0103","ISSN":"17554187","abstract":"Purpose: This study aims to examine the adoption of peer-to-peer (P2P) lending platforms to determine the factors that encourage SMEs to use P2P lending platforms in obtaining loans. Design/methodology/approach: A sample of ten SMEs from a variety of backgrounds was taken in Bandung, Indonesia. Bandung has been awarded the title of “creative city” by UNESCO, as the city allows for the development of the creative economy. This research used a semi-structured interview. Coding method was then used for content analysis to establish which factors emerging from the interview were leading respondents to obtain a loan through the P2P lending platform. Findings: The findings imply that loan processes, interest rates, loan costs, loan amounts and loan flexibility affect SMEs in obtaining a loan through P2P lending. Moreover, alternative payment schemes in the form of Sharia-based lending and profit-sharing schemes were found. These findings constituted the original findings of this study. Research limitations/implications: The study offers findings on factors affecting SMEs in using the P2P lending platform as a form of alternative financing. Moreover, the theoretical framework provided can be used as literature in future research. As this study was conducted in Bandung, Indonesia, the findings may not be generalisable to other regions. Originality/value: This study is one of the few studies that discusses P2P lending in Indonesia as the concept has been in practice only since 2015.","author":[{"dropping-particle":"","family":"Rosavina","given":"Monica","non-dropping-particle":"","parse-names":false,"suffix":""},{"dropping-particle":"","family":"Rahadi","given":"Raden Aswin","non-dropping-particle":"","parse-names":false,"suffix":""},{"dropping-particle":"","family":"Kitri","given":"Mandra Lazuardi","non-dropping-particle":"","parse-names":false,"suffix":""},{"dropping-particle":"","family":"Nuraeni","given":"Shimaditya","non-dropping-particle":"","parse-names":false,"suffix":""},{"dropping-particle":"","family":"Mayangsari","given":"Lidia","non-dropping-particle":"","parse-names":false,"suffix":""}],"container-title":"Qualitative Research in Financial Markets","id":"ITEM-1","issue":"2","issued":{"date-parts":[["2019"]]},"page":"260-279","title":"P2P lending adoption by SMEs in Indonesia","type":"article-journal","volume":"11"},"uris":["http://www.mendeley.com/documents/?uuid=4cc46e98-9afe-4c79-b8da-69d9993003bd"]}],"mendeley":{"formattedCitation":"[27]","plainTextFormattedCitation":"[27]","previouslyFormattedCitation":"[27]"},"properties":{"noteIndex":0},"schema":"https://github.com/citation-style-language/schema/raw/master/csl-citation.json"}</w:instrText>
      </w:r>
      <w:r w:rsidRPr="00B05AE3">
        <w:rPr>
          <w:b w:val="0"/>
          <w:bCs/>
          <w:color w:val="000000" w:themeColor="text1"/>
          <w:szCs w:val="20"/>
        </w:rPr>
        <w:fldChar w:fldCharType="separate"/>
      </w:r>
      <w:r w:rsidR="00227A76" w:rsidRPr="00227A76">
        <w:rPr>
          <w:b w:val="0"/>
          <w:bCs/>
          <w:noProof/>
          <w:color w:val="000000" w:themeColor="text1"/>
          <w:szCs w:val="20"/>
        </w:rPr>
        <w:t>[27]</w:t>
      </w:r>
      <w:r w:rsidRPr="00B05AE3">
        <w:rPr>
          <w:b w:val="0"/>
          <w:bCs/>
          <w:color w:val="000000" w:themeColor="text1"/>
          <w:szCs w:val="20"/>
        </w:rPr>
        <w:fldChar w:fldCharType="end"/>
      </w:r>
      <w:r w:rsidRPr="00B05AE3">
        <w:rPr>
          <w:b w:val="0"/>
          <w:bCs/>
          <w:color w:val="000000" w:themeColor="text1"/>
          <w:szCs w:val="20"/>
        </w:rPr>
        <w:t xml:space="preserve">. Furthermore, the interest rate can also be defined as the interest rate charged to borrowers, which is used to measure the level of risk charged by lenders to borrowers </w:t>
      </w:r>
      <w:r w:rsidRPr="00B05AE3">
        <w:rPr>
          <w:b w:val="0"/>
          <w:bCs/>
          <w:color w:val="000000" w:themeColor="text1"/>
          <w:szCs w:val="20"/>
        </w:rPr>
        <w:fldChar w:fldCharType="begin" w:fldLock="1"/>
      </w:r>
      <w:r w:rsidR="00310DED">
        <w:rPr>
          <w:b w:val="0"/>
          <w:bCs/>
          <w:color w:val="000000" w:themeColor="text1"/>
          <w:szCs w:val="20"/>
        </w:rPr>
        <w:instrText>ADDIN CSL_CITATION {"citationItems":[{"id":"ITEM-1","itemData":{"URL":"https://investree.id/en/how-it-works/interest-rate-fee","accessed":{"date-parts":[["2020","8","19"]]},"author":[{"dropping-particle":"","family":"Investree","given":"","non-dropping-particle":"","parse-names":false,"suffix":""}],"id":"ITEM-1","issued":{"date-parts":[["0"]]},"title":"Interest rates and fees","type":"webpage"},"uris":["http://www.mendeley.com/documents/?uuid=b4de824b-ff32-43e2-a4a1-16c15e64bc98"]}],"mendeley":{"formattedCitation":"[31]","plainTextFormattedCitation":"[31]","previouslyFormattedCitation":"[31]"},"properties":{"noteIndex":0},"schema":"https://github.com/citation-style-language/schema/raw/master/csl-citation.json"}</w:instrText>
      </w:r>
      <w:r w:rsidRPr="00B05AE3">
        <w:rPr>
          <w:b w:val="0"/>
          <w:bCs/>
          <w:color w:val="000000" w:themeColor="text1"/>
          <w:szCs w:val="20"/>
        </w:rPr>
        <w:fldChar w:fldCharType="separate"/>
      </w:r>
      <w:r w:rsidR="00227A76" w:rsidRPr="00227A76">
        <w:rPr>
          <w:b w:val="0"/>
          <w:bCs/>
          <w:noProof/>
          <w:color w:val="000000" w:themeColor="text1"/>
          <w:szCs w:val="20"/>
        </w:rPr>
        <w:t>[31]</w:t>
      </w:r>
      <w:r w:rsidRPr="00B05AE3">
        <w:rPr>
          <w:b w:val="0"/>
          <w:bCs/>
          <w:color w:val="000000" w:themeColor="text1"/>
          <w:szCs w:val="20"/>
        </w:rPr>
        <w:fldChar w:fldCharType="end"/>
      </w:r>
      <w:r w:rsidRPr="00B05AE3">
        <w:rPr>
          <w:b w:val="0"/>
          <w:bCs/>
          <w:color w:val="000000" w:themeColor="text1"/>
          <w:szCs w:val="20"/>
        </w:rPr>
        <w:t xml:space="preserve">. This study would </w:t>
      </w:r>
      <w:proofErr w:type="spellStart"/>
      <w:r w:rsidRPr="00B05AE3">
        <w:rPr>
          <w:b w:val="0"/>
          <w:bCs/>
          <w:color w:val="000000" w:themeColor="text1"/>
          <w:szCs w:val="20"/>
        </w:rPr>
        <w:t>analyze</w:t>
      </w:r>
      <w:proofErr w:type="spellEnd"/>
      <w:r w:rsidRPr="00B05AE3">
        <w:rPr>
          <w:b w:val="0"/>
          <w:bCs/>
          <w:color w:val="000000" w:themeColor="text1"/>
          <w:szCs w:val="20"/>
        </w:rPr>
        <w:t xml:space="preserve"> that the interest rates </w:t>
      </w:r>
      <w:r w:rsidR="00941207">
        <w:rPr>
          <w:b w:val="0"/>
          <w:bCs/>
          <w:color w:val="000000" w:themeColor="text1"/>
          <w:szCs w:val="20"/>
        </w:rPr>
        <w:t>provided</w:t>
      </w:r>
      <w:r w:rsidRPr="00B05AE3">
        <w:rPr>
          <w:b w:val="0"/>
          <w:bCs/>
          <w:color w:val="000000" w:themeColor="text1"/>
          <w:szCs w:val="20"/>
        </w:rPr>
        <w:t xml:space="preserve"> by Fintech are more </w:t>
      </w:r>
      <w:r w:rsidR="00941207">
        <w:rPr>
          <w:b w:val="0"/>
          <w:bCs/>
          <w:color w:val="000000" w:themeColor="text1"/>
          <w:szCs w:val="20"/>
        </w:rPr>
        <w:t>aggressive</w:t>
      </w:r>
      <w:r w:rsidRPr="00B05AE3">
        <w:rPr>
          <w:b w:val="0"/>
          <w:bCs/>
          <w:color w:val="000000" w:themeColor="text1"/>
          <w:szCs w:val="20"/>
        </w:rPr>
        <w:t xml:space="preserve"> than banks. The low-interest-rate allows easy repayment of loan </w:t>
      </w:r>
      <w:proofErr w:type="spellStart"/>
      <w:r w:rsidRPr="00B05AE3">
        <w:rPr>
          <w:b w:val="0"/>
          <w:bCs/>
          <w:color w:val="000000" w:themeColor="text1"/>
          <w:szCs w:val="20"/>
        </w:rPr>
        <w:t>installments</w:t>
      </w:r>
      <w:proofErr w:type="spellEnd"/>
      <w:r w:rsidRPr="00B05AE3">
        <w:rPr>
          <w:b w:val="0"/>
          <w:bCs/>
          <w:color w:val="000000" w:themeColor="text1"/>
          <w:szCs w:val="20"/>
        </w:rPr>
        <w:t xml:space="preserve"> and funds because the total amount of the loan is less than offers from other conventional financial institutions. Therefore, the hypothesis offered is:</w:t>
      </w:r>
    </w:p>
    <w:p w14:paraId="0452BCB3" w14:textId="360AE5CD" w:rsidR="0081678E" w:rsidRDefault="00B05AE3" w:rsidP="0081678E">
      <w:pPr>
        <w:pStyle w:val="SubJudul"/>
        <w:numPr>
          <w:ilvl w:val="0"/>
          <w:numId w:val="0"/>
        </w:numPr>
        <w:ind w:left="720"/>
        <w:rPr>
          <w:lang w:val="fr-FR"/>
        </w:rPr>
      </w:pPr>
      <w:r w:rsidRPr="00B05AE3">
        <w:rPr>
          <w:lang w:val="fr-FR"/>
        </w:rPr>
        <w:t xml:space="preserve">H1: </w:t>
      </w:r>
      <w:proofErr w:type="spellStart"/>
      <w:r w:rsidRPr="00B05AE3">
        <w:rPr>
          <w:lang w:val="fr-FR"/>
        </w:rPr>
        <w:t>Interest</w:t>
      </w:r>
      <w:proofErr w:type="spellEnd"/>
      <w:r w:rsidRPr="00B05AE3">
        <w:rPr>
          <w:lang w:val="fr-FR"/>
        </w:rPr>
        <w:t xml:space="preserve"> Rate (IR) affects the Intention to Use (IU) to use FinTech.</w:t>
      </w:r>
    </w:p>
    <w:p w14:paraId="5B1EAFAE" w14:textId="77777777" w:rsidR="0081678E" w:rsidRDefault="0081678E" w:rsidP="0081678E">
      <w:pPr>
        <w:pStyle w:val="SubJudul"/>
        <w:numPr>
          <w:ilvl w:val="0"/>
          <w:numId w:val="0"/>
        </w:numPr>
        <w:ind w:left="720"/>
        <w:rPr>
          <w:lang w:val="fr-FR"/>
        </w:rPr>
      </w:pPr>
    </w:p>
    <w:p w14:paraId="120598CE" w14:textId="77777777" w:rsidR="0081678E" w:rsidRDefault="0081678E" w:rsidP="0081678E">
      <w:pPr>
        <w:pStyle w:val="BodyText"/>
        <w:spacing w:after="200" w:line="288" w:lineRule="auto"/>
        <w:jc w:val="center"/>
      </w:pPr>
      <w:r>
        <w:rPr>
          <w:noProof/>
        </w:rPr>
        <w:drawing>
          <wp:inline distT="0" distB="0" distL="0" distR="0" wp14:anchorId="2520639A" wp14:editId="6699D19A">
            <wp:extent cx="4190337" cy="2826837"/>
            <wp:effectExtent l="0" t="0" r="127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8">
                      <a:extLst>
                        <a:ext uri="{28A0092B-C50C-407E-A947-70E740481C1C}">
                          <a14:useLocalDpi xmlns:a14="http://schemas.microsoft.com/office/drawing/2010/main" val="0"/>
                        </a:ext>
                      </a:extLst>
                    </a:blip>
                    <a:srcRect l="18490" t="2689" r="996" b="12415"/>
                    <a:stretch/>
                  </pic:blipFill>
                  <pic:spPr bwMode="auto">
                    <a:xfrm>
                      <a:off x="0" y="0"/>
                      <a:ext cx="4233554" cy="2855992"/>
                    </a:xfrm>
                    <a:prstGeom prst="rect">
                      <a:avLst/>
                    </a:prstGeom>
                    <a:noFill/>
                    <a:ln>
                      <a:noFill/>
                    </a:ln>
                    <a:extLst>
                      <a:ext uri="{53640926-AAD7-44D8-BBD7-CCE9431645EC}">
                        <a14:shadowObscured xmlns:a14="http://schemas.microsoft.com/office/drawing/2010/main"/>
                      </a:ext>
                    </a:extLst>
                  </pic:spPr>
                </pic:pic>
              </a:graphicData>
            </a:graphic>
          </wp:inline>
        </w:drawing>
      </w:r>
    </w:p>
    <w:p w14:paraId="7BC3E475" w14:textId="2BA7F4A6" w:rsidR="0081678E" w:rsidRPr="0031699D" w:rsidRDefault="0081678E" w:rsidP="0031699D">
      <w:pPr>
        <w:pStyle w:val="Isi"/>
        <w:spacing w:line="240" w:lineRule="auto"/>
        <w:jc w:val="center"/>
      </w:pPr>
      <w:r w:rsidRPr="0031699D">
        <w:t xml:space="preserve">Figure 2. Conceptual </w:t>
      </w:r>
      <w:r w:rsidR="0031699D">
        <w:t>M</w:t>
      </w:r>
      <w:r w:rsidRPr="0031699D">
        <w:t xml:space="preserve">odel of Fintech Lending </w:t>
      </w:r>
      <w:r w:rsidR="0031699D">
        <w:t>I</w:t>
      </w:r>
      <w:r w:rsidRPr="0031699D">
        <w:t xml:space="preserve">ntention to </w:t>
      </w:r>
      <w:r w:rsidR="0031699D">
        <w:t>U</w:t>
      </w:r>
      <w:r w:rsidRPr="0031699D">
        <w:t xml:space="preserve">se </w:t>
      </w:r>
      <w:r w:rsidR="0031699D">
        <w:t>A</w:t>
      </w:r>
      <w:r w:rsidRPr="0031699D">
        <w:t>mong Indonesian</w:t>
      </w:r>
    </w:p>
    <w:p w14:paraId="1A282AFB" w14:textId="77777777" w:rsidR="0081678E" w:rsidRPr="0081678E" w:rsidRDefault="0081678E" w:rsidP="0081678E">
      <w:pPr>
        <w:pStyle w:val="SubJudul"/>
        <w:numPr>
          <w:ilvl w:val="0"/>
          <w:numId w:val="0"/>
        </w:numPr>
        <w:ind w:left="720"/>
        <w:rPr>
          <w:lang w:val="fr-FR"/>
        </w:rPr>
      </w:pPr>
    </w:p>
    <w:p w14:paraId="29A35D30" w14:textId="25C7FBC7" w:rsidR="00D67A69" w:rsidRDefault="00B05AE3" w:rsidP="00B05AE3">
      <w:pPr>
        <w:pStyle w:val="SubJudul"/>
        <w:numPr>
          <w:ilvl w:val="0"/>
          <w:numId w:val="20"/>
        </w:numPr>
        <w:rPr>
          <w:b w:val="0"/>
          <w:bCs/>
          <w:color w:val="000000" w:themeColor="text1"/>
          <w:szCs w:val="20"/>
        </w:rPr>
      </w:pPr>
      <w:r w:rsidRPr="00B05AE3">
        <w:rPr>
          <w:b w:val="0"/>
          <w:bCs/>
          <w:color w:val="000000" w:themeColor="text1"/>
          <w:szCs w:val="20"/>
        </w:rPr>
        <w:t xml:space="preserve">Personal Innovativeness is defined as a different reaction for everyone when adopting an innovation </w:t>
      </w:r>
      <w:r w:rsidRPr="00B05AE3">
        <w:rPr>
          <w:b w:val="0"/>
          <w:bCs/>
          <w:color w:val="000000" w:themeColor="text1"/>
          <w:szCs w:val="20"/>
        </w:rPr>
        <w:fldChar w:fldCharType="begin" w:fldLock="1"/>
      </w:r>
      <w:r w:rsidR="00310DED">
        <w:rPr>
          <w:b w:val="0"/>
          <w:bCs/>
          <w:color w:val="000000" w:themeColor="text1"/>
          <w:szCs w:val="20"/>
        </w:rPr>
        <w:instrText>ADDIN CSL_CITATION {"citationItems":[{"id":"ITEM-1","itemData":{"DOI":"10.1016/j.elerap.2016.07.001","ISSN":"15674223","abstract":"Although there is a large body of research on trust in e-commerce, a crucial gap is that extant studies have not examined the role of perceived enjoyment on trust in the presence of risk perception in Arab countries. In this paper, an online trust model is presented that exhibits the impact of four external factors (personal innovativeness, propensity to trust, familiarity, and presence of third-party seals) on the intention to use an online payment via the mediation of three endogenous variables (enjoyment, risk, and customer trust). The data was collected from Kuwait, an Arab country, with a mixed of data collection survey methods of 150 online questionnaires and 200 paper-based questionnaires. The data was then analyzed using partial least squares (PLS) regression. The findings revealed that customer trust and enjoyment are two important drivers of the online payment adoption, which neutralized risk perceptions. This study discusses these results as well as research and a managerial perspectives that could assist in enhancing online payment acceptance in Kuwait.","author":[{"dropping-particle":"","family":"Rouibah","given":"Kamel","non-dropping-particle":"","parse-names":false,"suffix":""},{"dropping-particle":"","family":"Lowry","given":"Paul Benjamin","non-dropping-particle":"","parse-names":false,"suffix":""},{"dropping-particle":"","family":"Hwang","given":"Yujong","non-dropping-particle":"","parse-names":false,"suffix":""}],"container-title":"Electronic Commerce Research and Applications","id":"ITEM-1","issued":{"date-parts":[["2016"]]},"page":"33-43","publisher":"Elsevier B.V.","title":"The effects of perceived enjoyment and perceived risks on trust formation and intentions to use online payment systems: New perspectives from an Arab country","type":"article-journal","volume":"19"},"uris":["http://www.mendeley.com/documents/?uuid=08e46099-ad52-4301-8f7b-72b1f4c540d7"]}],"mendeley":{"formattedCitation":"[26]","plainTextFormattedCitation":"[26]","previouslyFormattedCitation":"[26]"},"properties":{"noteIndex":0},"schema":"https://github.com/citation-style-language/schema/raw/master/csl-citation.json"}</w:instrText>
      </w:r>
      <w:r w:rsidRPr="00B05AE3">
        <w:rPr>
          <w:b w:val="0"/>
          <w:bCs/>
          <w:color w:val="000000" w:themeColor="text1"/>
          <w:szCs w:val="20"/>
        </w:rPr>
        <w:fldChar w:fldCharType="separate"/>
      </w:r>
      <w:r w:rsidR="00227A76" w:rsidRPr="00227A76">
        <w:rPr>
          <w:b w:val="0"/>
          <w:bCs/>
          <w:noProof/>
          <w:color w:val="000000" w:themeColor="text1"/>
          <w:szCs w:val="20"/>
        </w:rPr>
        <w:t>[26]</w:t>
      </w:r>
      <w:r w:rsidRPr="00B05AE3">
        <w:rPr>
          <w:b w:val="0"/>
          <w:bCs/>
          <w:color w:val="000000" w:themeColor="text1"/>
          <w:szCs w:val="20"/>
        </w:rPr>
        <w:fldChar w:fldCharType="end"/>
      </w:r>
      <w:r w:rsidRPr="00B05AE3">
        <w:rPr>
          <w:b w:val="0"/>
          <w:bCs/>
          <w:color w:val="000000" w:themeColor="text1"/>
          <w:szCs w:val="20"/>
        </w:rPr>
        <w:t xml:space="preserve">. This reaction is a personal trait that will be found to vary from person to person. In this study, Personal Innovativeness is reflected in the form of willingness and enjoyment when using a FinTech Lending platform. Personal Innovativeness is also related to the desire to be the first to explore Fintech in their environment. Curiosity about FinTech Lending is the primary basis for the development of Personal Innovativeness. Therefore, the hypothesis designed in this study is: </w:t>
      </w:r>
    </w:p>
    <w:p w14:paraId="4E9E5B56" w14:textId="69E24CA6" w:rsidR="00B05AE3" w:rsidRPr="00D67A69" w:rsidRDefault="00B05AE3" w:rsidP="00D67A69">
      <w:pPr>
        <w:pStyle w:val="SubJudul"/>
        <w:numPr>
          <w:ilvl w:val="0"/>
          <w:numId w:val="0"/>
        </w:numPr>
        <w:ind w:left="720"/>
        <w:rPr>
          <w:color w:val="000000" w:themeColor="text1"/>
          <w:szCs w:val="20"/>
        </w:rPr>
      </w:pPr>
      <w:r w:rsidRPr="00D67A69">
        <w:rPr>
          <w:color w:val="000000" w:themeColor="text1"/>
          <w:szCs w:val="20"/>
        </w:rPr>
        <w:t>H2: Personal Innovativeness (PI) influences the Intention to Use (IU) to use FinTech.</w:t>
      </w:r>
    </w:p>
    <w:p w14:paraId="31FBC8C3" w14:textId="42F3EB5A" w:rsidR="00D67A69" w:rsidRDefault="00D67A69" w:rsidP="00D67A69">
      <w:pPr>
        <w:pStyle w:val="SubJudul"/>
        <w:numPr>
          <w:ilvl w:val="0"/>
          <w:numId w:val="20"/>
        </w:numPr>
        <w:rPr>
          <w:b w:val="0"/>
          <w:bCs/>
          <w:color w:val="000000" w:themeColor="text1"/>
          <w:szCs w:val="20"/>
        </w:rPr>
      </w:pPr>
      <w:r w:rsidRPr="00D67A69">
        <w:rPr>
          <w:b w:val="0"/>
          <w:bCs/>
          <w:color w:val="000000" w:themeColor="text1"/>
          <w:szCs w:val="20"/>
        </w:rPr>
        <w:t xml:space="preserve">Security is the main thing that the FinTech platform must-have. Security in this context can be understood as the security of the platform technology structure and procedures </w:t>
      </w:r>
      <w:r w:rsidRPr="00D67A69">
        <w:rPr>
          <w:b w:val="0"/>
          <w:bCs/>
          <w:color w:val="000000" w:themeColor="text1"/>
          <w:szCs w:val="20"/>
        </w:rPr>
        <w:fldChar w:fldCharType="begin" w:fldLock="1"/>
      </w:r>
      <w:r w:rsidR="00310DED">
        <w:rPr>
          <w:b w:val="0"/>
          <w:bCs/>
          <w:color w:val="000000" w:themeColor="text1"/>
          <w:szCs w:val="20"/>
        </w:rPr>
        <w:instrText>ADDIN CSL_CITATION {"citationItems":[{"id":"ITEM-1","itemData":{"DOI":"10.1109/ICCED.2018.00026","ISBN":"9781538693780","abstract":"The focus of this study is to identify factors that affecting the desires of investors or lenders to invest in Indonesian Small Medium Enterprises (SMEs) through the service provider peer-To-peer lending (P2P lending). This is because there are P2P lending that could not raise funds amounts required by the borrower (SMEs) in full and within the given deadline. This research uses quantitative method using survey to 214 respondents and data is analyzed using Partial Least Square-Structural Equation Modeling (PLS-SEM) approach. Result of analysis from this research identified the factors that influence investors' desire to invest in Indonesian SMEs namely perceived risk and investor trust to P2P lending platform (platform trust). Perceived risk factors inversely proportional to the level of investors' desire to invest capital. While the platform factor is directly proportional to the desire of investors to invest capital. Thus, it can be concluded that the less risk potentially arise and the higher investors' confidence in the P2P lending platform, the higher the investors' desire to invest.","author":[{"dropping-particle":"","family":"Puteri","given":"Fatimah Shera","non-dropping-particle":"","parse-names":false,"suffix":""},{"dropping-particle":"","family":"Handayani","given":"Putu Wuri","non-dropping-particle":"","parse-names":false,"suffix":""},{"dropping-particle":"","family":"Azzahro","given":"Fatimah","non-dropping-particle":"","parse-names":false,"suffix":""},{"dropping-particle":"","family":"Pinem","given":"Ave Adriana","non-dropping-particle":"","parse-names":false,"suffix":""}],"container-title":"Proceedings - 2018 4th International Conference on Computing, Engineering, and Design, ICCED 2018","id":"ITEM-1","issued":{"date-parts":[["2019"]]},"page":"87-92","title":"Analysis of investor intention to invest capital in small and medium enterprises through peer-to-peer lending in Indonesia","type":"article-journal"},"uris":["http://www.mendeley.com/documents/?uuid=f8b7b9b5-4286-4397-bb89-5b67dbdac06e"]}],"mendeley":{"formattedCitation":"[28]","plainTextFormattedCitation":"[28]","previouslyFormattedCitation":"[28]"},"properties":{"noteIndex":0},"schema":"https://github.com/citation-style-language/schema/raw/master/csl-citation.json"}</w:instrText>
      </w:r>
      <w:r w:rsidRPr="00D67A69">
        <w:rPr>
          <w:b w:val="0"/>
          <w:bCs/>
          <w:color w:val="000000" w:themeColor="text1"/>
          <w:szCs w:val="20"/>
        </w:rPr>
        <w:fldChar w:fldCharType="separate"/>
      </w:r>
      <w:r w:rsidR="00227A76" w:rsidRPr="00227A76">
        <w:rPr>
          <w:b w:val="0"/>
          <w:bCs/>
          <w:noProof/>
          <w:color w:val="000000" w:themeColor="text1"/>
          <w:szCs w:val="20"/>
        </w:rPr>
        <w:t>[28]</w:t>
      </w:r>
      <w:r w:rsidRPr="00D67A69">
        <w:rPr>
          <w:b w:val="0"/>
          <w:bCs/>
          <w:color w:val="000000" w:themeColor="text1"/>
          <w:szCs w:val="20"/>
        </w:rPr>
        <w:fldChar w:fldCharType="end"/>
      </w:r>
      <w:r w:rsidRPr="00D67A69">
        <w:rPr>
          <w:b w:val="0"/>
          <w:bCs/>
          <w:color w:val="000000" w:themeColor="text1"/>
          <w:szCs w:val="20"/>
        </w:rPr>
        <w:t>. This research will evaluate that FinTech Lending has protection technology following the regulations. The security factor will also increase if the prospective borrower knows the borrowing procedure. The availability of clear loan contracts and following government legal regulations is also a factor that will increase the platform's security. Therefore, the hypothesis is:</w:t>
      </w:r>
    </w:p>
    <w:p w14:paraId="16D2CD99" w14:textId="6DC4CD10" w:rsidR="00D67A69" w:rsidRPr="00D56492" w:rsidRDefault="00D67A69" w:rsidP="00D67A69">
      <w:pPr>
        <w:pStyle w:val="SubJudul"/>
        <w:numPr>
          <w:ilvl w:val="0"/>
          <w:numId w:val="0"/>
        </w:numPr>
        <w:ind w:left="720"/>
        <w:rPr>
          <w:color w:val="000000" w:themeColor="text1"/>
          <w:szCs w:val="20"/>
        </w:rPr>
      </w:pPr>
      <w:r w:rsidRPr="00D56492">
        <w:rPr>
          <w:color w:val="000000" w:themeColor="text1"/>
          <w:szCs w:val="20"/>
        </w:rPr>
        <w:t xml:space="preserve">H3: Security (SE) affects the Intention to Use (IU) to use </w:t>
      </w:r>
      <w:proofErr w:type="spellStart"/>
      <w:r w:rsidRPr="00D56492">
        <w:rPr>
          <w:color w:val="000000" w:themeColor="text1"/>
          <w:szCs w:val="20"/>
        </w:rPr>
        <w:t>FinTech.Trust</w:t>
      </w:r>
      <w:proofErr w:type="spellEnd"/>
      <w:r w:rsidRPr="00D56492">
        <w:rPr>
          <w:color w:val="000000" w:themeColor="text1"/>
          <w:szCs w:val="20"/>
        </w:rPr>
        <w:t xml:space="preserve"> in Online Lending Platform</w:t>
      </w:r>
    </w:p>
    <w:p w14:paraId="773DECA3" w14:textId="6E772724" w:rsidR="00D56492" w:rsidRDefault="00D56492" w:rsidP="00D56492">
      <w:pPr>
        <w:pStyle w:val="SubJudul"/>
        <w:numPr>
          <w:ilvl w:val="0"/>
          <w:numId w:val="20"/>
        </w:numPr>
        <w:rPr>
          <w:b w:val="0"/>
          <w:bCs/>
          <w:color w:val="000000" w:themeColor="text1"/>
          <w:szCs w:val="20"/>
        </w:rPr>
      </w:pPr>
      <w:r w:rsidRPr="00D56492">
        <w:rPr>
          <w:b w:val="0"/>
          <w:bCs/>
          <w:color w:val="000000" w:themeColor="text1"/>
          <w:szCs w:val="20"/>
        </w:rPr>
        <w:t xml:space="preserve">Trust is considered a factor that affects the use of mobile-based FinTech platforms </w:t>
      </w:r>
      <w:r w:rsidRPr="00D56492">
        <w:rPr>
          <w:b w:val="0"/>
          <w:bCs/>
          <w:color w:val="000000" w:themeColor="text1"/>
          <w:szCs w:val="20"/>
        </w:rPr>
        <w:fldChar w:fldCharType="begin" w:fldLock="1"/>
      </w:r>
      <w:r w:rsidR="00310DED">
        <w:rPr>
          <w:b w:val="0"/>
          <w:bCs/>
          <w:color w:val="000000" w:themeColor="text1"/>
          <w:szCs w:val="20"/>
        </w:rPr>
        <w:instrText>ADDIN CSL_CITATION {"citationItems":[{"id":"ITEM-1","itemData":{"ISBN":"9781538645710","author":[{"dropping-particle":"","family":"Indrawati; Dianty Anggraini Putri","given":"","non-dropping-particle":"","parse-names":false,"suffix":""}],"container-title":"2018 6th International Conference on Information and Communication Technology (ICoICT)","id":"ITEM-1","issued":{"date-parts":[["2018"]]},"page":"167-173","publisher":"IEEE","title":"Analyzing Factors Influencing Continuance Intention of E-Payment Adoption Using Modified UTAUT 2 Model","type":"article-journal"},"uris":["http://www.mendeley.com/documents/?uuid=2b5f28d8-cff7-4982-8218-47de6f011b25"]}],"mendeley":{"formattedCitation":"[25]","plainTextFormattedCitation":"[25]","previouslyFormattedCitation":"[25]"},"properties":{"noteIndex":0},"schema":"https://github.com/citation-style-language/schema/raw/master/csl-citation.json"}</w:instrText>
      </w:r>
      <w:r w:rsidRPr="00D56492">
        <w:rPr>
          <w:b w:val="0"/>
          <w:bCs/>
          <w:color w:val="000000" w:themeColor="text1"/>
          <w:szCs w:val="20"/>
        </w:rPr>
        <w:fldChar w:fldCharType="separate"/>
      </w:r>
      <w:r w:rsidR="00227A76" w:rsidRPr="00227A76">
        <w:rPr>
          <w:b w:val="0"/>
          <w:bCs/>
          <w:noProof/>
          <w:color w:val="000000" w:themeColor="text1"/>
          <w:szCs w:val="20"/>
        </w:rPr>
        <w:t>[25]</w:t>
      </w:r>
      <w:r w:rsidRPr="00D56492">
        <w:rPr>
          <w:b w:val="0"/>
          <w:bCs/>
          <w:color w:val="000000" w:themeColor="text1"/>
          <w:szCs w:val="20"/>
        </w:rPr>
        <w:fldChar w:fldCharType="end"/>
      </w:r>
      <w:r w:rsidRPr="00D56492">
        <w:rPr>
          <w:b w:val="0"/>
          <w:bCs/>
          <w:color w:val="000000" w:themeColor="text1"/>
          <w:szCs w:val="20"/>
        </w:rPr>
        <w:t xml:space="preserve">. Trust also has a significant influence on consumer's attitudes </w:t>
      </w:r>
      <w:r w:rsidRPr="00D56492">
        <w:rPr>
          <w:b w:val="0"/>
          <w:bCs/>
          <w:color w:val="000000" w:themeColor="text1"/>
          <w:szCs w:val="20"/>
        </w:rPr>
        <w:fldChar w:fldCharType="begin" w:fldLock="1"/>
      </w:r>
      <w:r w:rsidR="00310DED">
        <w:rPr>
          <w:b w:val="0"/>
          <w:bCs/>
          <w:color w:val="000000" w:themeColor="text1"/>
          <w:szCs w:val="20"/>
        </w:rPr>
        <w:instrText>ADDIN CSL_CITATION {"citationItems":[{"id":"ITEM-1","itemData":{"DOI":"10.1109/ICIMTech.2019.8843803","ISBN":"9781728133331","abstract":"Purpose of this research is to explores the factors that influence the intention to adopt Peer to Peer Lending Service Platform based on the Technology Acceptance Model with trust, credibility, perceived benefit, and perceived risk as additional factors. Structural Equation Model used as statistical test with SmartPLS 3.0 software. The sampling technique is quota sampling. Data source in this research is primary data with 1000 respondents who have accessed fintech Peer to Peer lending also using services provided recently. The results of statistical analysis using PLS-SEM demonstrated that perceived benefit, trust, usefulness and ease of use had significant impect to the intention to choosing fintech lending services.","author":[{"dropping-particle":"","family":"Kurniawan","given":"Roy","non-dropping-particle":"","parse-names":false,"suffix":""}],"container-title":"Proceedings of 2019 International Conference on Information Management and Technology, ICIMTech 2019","id":"ITEM-1","issued":{"date-parts":[["2019"]]},"page":"432-437","publisher":"IEEE","title":"Examination of the Factors Contributing to Financial Technology Adoption in Indonesia using Technology Acceptance Model: Case Study of Peer to Peer Lending Service Platform","type":"article-journal","volume":"1"},"uris":["http://www.mendeley.com/documents/?uuid=7478afc4-5e82-4f0b-80c7-21f9ef6f5ce6"]}],"mendeley":{"formattedCitation":"[30]","plainTextFormattedCitation":"[30]","previouslyFormattedCitation":"[30]"},"properties":{"noteIndex":0},"schema":"https://github.com/citation-style-language/schema/raw/master/csl-citation.json"}</w:instrText>
      </w:r>
      <w:r w:rsidRPr="00D56492">
        <w:rPr>
          <w:b w:val="0"/>
          <w:bCs/>
          <w:color w:val="000000" w:themeColor="text1"/>
          <w:szCs w:val="20"/>
        </w:rPr>
        <w:fldChar w:fldCharType="separate"/>
      </w:r>
      <w:r w:rsidR="00227A76" w:rsidRPr="00227A76">
        <w:rPr>
          <w:b w:val="0"/>
          <w:bCs/>
          <w:noProof/>
          <w:color w:val="000000" w:themeColor="text1"/>
          <w:szCs w:val="20"/>
        </w:rPr>
        <w:t>[30]</w:t>
      </w:r>
      <w:r w:rsidRPr="00D56492">
        <w:rPr>
          <w:b w:val="0"/>
          <w:bCs/>
          <w:color w:val="000000" w:themeColor="text1"/>
          <w:szCs w:val="20"/>
        </w:rPr>
        <w:fldChar w:fldCharType="end"/>
      </w:r>
      <w:r w:rsidRPr="00D56492">
        <w:rPr>
          <w:b w:val="0"/>
          <w:bCs/>
          <w:color w:val="000000" w:themeColor="text1"/>
          <w:szCs w:val="20"/>
        </w:rPr>
        <w:t>. In this study, the Trusts evaluated are from the perspective of the provider of the Fintech Lending platform. Users believe that high trust in Fintech Lending platform providers can affect users' desire to use the service. In this study, Trust in Online Lending Platform is defined as a condition when FinTech service providers keep their promises. Besides, Trust in Online Lending Platform deals with providers of Fintech Lending platforms who are considered competent and have provided effective financial services. Therefore the hypothesis offered is:</w:t>
      </w:r>
    </w:p>
    <w:p w14:paraId="2AC0A698" w14:textId="08FD449D" w:rsidR="00D56492" w:rsidRPr="00D56492" w:rsidRDefault="00D56492" w:rsidP="00D56492">
      <w:pPr>
        <w:pStyle w:val="SubJudul"/>
        <w:numPr>
          <w:ilvl w:val="0"/>
          <w:numId w:val="0"/>
        </w:numPr>
        <w:ind w:left="720"/>
        <w:rPr>
          <w:color w:val="000000" w:themeColor="text1"/>
          <w:szCs w:val="20"/>
        </w:rPr>
      </w:pPr>
      <w:r w:rsidRPr="00D56492">
        <w:rPr>
          <w:lang w:val="fi-FI"/>
        </w:rPr>
        <w:t>H4: Trust (TL) affects Intention to Use (IU) to use FinTech.</w:t>
      </w:r>
    </w:p>
    <w:p w14:paraId="65527F1F" w14:textId="03BAC2F0" w:rsidR="00D56492" w:rsidRPr="00D56492" w:rsidRDefault="00D56492" w:rsidP="00D56492">
      <w:pPr>
        <w:pStyle w:val="SubJudul"/>
        <w:numPr>
          <w:ilvl w:val="0"/>
          <w:numId w:val="20"/>
        </w:numPr>
        <w:rPr>
          <w:b w:val="0"/>
          <w:bCs/>
          <w:color w:val="000000" w:themeColor="text1"/>
          <w:szCs w:val="20"/>
        </w:rPr>
      </w:pPr>
      <w:r w:rsidRPr="00D56492">
        <w:rPr>
          <w:b w:val="0"/>
          <w:bCs/>
          <w:color w:val="000000" w:themeColor="text1"/>
          <w:szCs w:val="20"/>
        </w:rPr>
        <w:t xml:space="preserve">Familiarity can be represented by familiarity with complexity and uncertainty related to the platform provider's interface, procedures, and reputation </w:t>
      </w:r>
      <w:r w:rsidRPr="00D56492">
        <w:rPr>
          <w:b w:val="0"/>
          <w:bCs/>
          <w:color w:val="000000" w:themeColor="text1"/>
          <w:szCs w:val="20"/>
        </w:rPr>
        <w:fldChar w:fldCharType="begin" w:fldLock="1"/>
      </w:r>
      <w:r w:rsidR="00310DED">
        <w:rPr>
          <w:b w:val="0"/>
          <w:bCs/>
          <w:color w:val="000000" w:themeColor="text1"/>
          <w:szCs w:val="20"/>
        </w:rPr>
        <w:instrText>ADDIN CSL_CITATION {"citationItems":[{"id":"ITEM-1","itemData":{"DOI":"10.1016/j.elerap.2016.07.001","ISSN":"15674223","abstract":"Although there is a large body of research on trust in e-commerce, a crucial gap is that extant studies have not examined the role of perceived enjoyment on trust in the presence of risk perception in Arab countries. In this paper, an online trust model is presented that exhibits the impact of four external factors (personal innovativeness, propensity to trust, familiarity, and presence of third-party seals) on the intention to use an online payment via the mediation of three endogenous variables (enjoyment, risk, and customer trust). The data was collected from Kuwait, an Arab country, with a mixed of data collection survey methods of 150 online questionnaires and 200 paper-based questionnaires. The data was then analyzed using partial least squares (PLS) regression. The findings revealed that customer trust and enjoyment are two important drivers of the online payment adoption, which neutralized risk perceptions. This study discusses these results as well as research and a managerial perspectives that could assist in enhancing online payment acceptance in Kuwait.","author":[{"dropping-particle":"","family":"Rouibah","given":"Kamel","non-dropping-particle":"","parse-names":false,"suffix":""},{"dropping-particle":"","family":"Lowry","given":"Paul Benjamin","non-dropping-particle":"","parse-names":false,"suffix":""},{"dropping-particle":"","family":"Hwang","given":"Yujong","non-dropping-particle":"","parse-names":false,"suffix":""}],"container-title":"Electronic Commerce Research and Applications","id":"ITEM-1","issued":{"date-parts":[["2016"]]},"page":"33-43","publisher":"Elsevier B.V.","title":"The effects of perceived enjoyment and perceived risks on trust formation and intentions to use online payment systems: New perspectives from an Arab country","type":"article-journal","volume":"19"},"uris":["http://www.mendeley.com/documents/?uuid=08e46099-ad52-4301-8f7b-72b1f4c540d7"]}],"mendeley":{"formattedCitation":"[26]","plainTextFormattedCitation":"[26]","previouslyFormattedCitation":"[26]"},"properties":{"noteIndex":0},"schema":"https://github.com/citation-style-language/schema/raw/master/csl-citation.json"}</w:instrText>
      </w:r>
      <w:r w:rsidRPr="00D56492">
        <w:rPr>
          <w:b w:val="0"/>
          <w:bCs/>
          <w:color w:val="000000" w:themeColor="text1"/>
          <w:szCs w:val="20"/>
        </w:rPr>
        <w:fldChar w:fldCharType="separate"/>
      </w:r>
      <w:r w:rsidR="00227A76" w:rsidRPr="00227A76">
        <w:rPr>
          <w:b w:val="0"/>
          <w:bCs/>
          <w:noProof/>
          <w:color w:val="000000" w:themeColor="text1"/>
          <w:szCs w:val="20"/>
        </w:rPr>
        <w:t>[26]</w:t>
      </w:r>
      <w:r w:rsidRPr="00D56492">
        <w:rPr>
          <w:b w:val="0"/>
          <w:bCs/>
          <w:color w:val="000000" w:themeColor="text1"/>
          <w:szCs w:val="20"/>
        </w:rPr>
        <w:fldChar w:fldCharType="end"/>
      </w:r>
      <w:r w:rsidRPr="00D56492">
        <w:rPr>
          <w:b w:val="0"/>
          <w:bCs/>
          <w:color w:val="000000" w:themeColor="text1"/>
          <w:szCs w:val="20"/>
        </w:rPr>
        <w:t>.  Users believe that the more familiar with the platform, the more users will want to use it. In this study, Familiarity is represented by user habits towards procedures on the FinTech platform. Also, the familiarity of the platform's interface affects the user's willingness to continue using the service. Users also desire to use FinTech services if the service provider is proven to have a good reputation among the Indonesian people. Therefore, the hypothesis designed in this study is:</w:t>
      </w:r>
    </w:p>
    <w:p w14:paraId="32519D50" w14:textId="14456E53" w:rsidR="00D56492" w:rsidRPr="00D56492" w:rsidRDefault="00D56492" w:rsidP="00D56492">
      <w:pPr>
        <w:pStyle w:val="SubJudul"/>
        <w:numPr>
          <w:ilvl w:val="0"/>
          <w:numId w:val="0"/>
        </w:numPr>
        <w:ind w:left="720"/>
        <w:rPr>
          <w:color w:val="000000" w:themeColor="text1"/>
          <w:szCs w:val="20"/>
        </w:rPr>
      </w:pPr>
      <w:r w:rsidRPr="00D56492">
        <w:rPr>
          <w:color w:val="000000" w:themeColor="text1"/>
          <w:szCs w:val="20"/>
        </w:rPr>
        <w:t>H5:</w:t>
      </w:r>
      <w:r>
        <w:rPr>
          <w:color w:val="000000" w:themeColor="text1"/>
          <w:szCs w:val="20"/>
        </w:rPr>
        <w:t xml:space="preserve"> </w:t>
      </w:r>
      <w:r w:rsidRPr="00D56492">
        <w:rPr>
          <w:color w:val="000000" w:themeColor="text1"/>
          <w:szCs w:val="20"/>
        </w:rPr>
        <w:t>Familiarity (FM) affects Intention to Use (IU) to use FinTech.</w:t>
      </w:r>
    </w:p>
    <w:p w14:paraId="1F7C0FEE" w14:textId="34ED41E9" w:rsidR="0081678E" w:rsidRDefault="0081678E" w:rsidP="0081678E">
      <w:pPr>
        <w:pStyle w:val="Subsubjudul"/>
        <w:spacing w:line="240" w:lineRule="auto"/>
        <w:ind w:left="567" w:hanging="567"/>
        <w:rPr>
          <w:i w:val="0"/>
          <w:color w:val="000000" w:themeColor="text1"/>
          <w:lang w:val="en-ID"/>
        </w:rPr>
      </w:pPr>
      <w:r w:rsidRPr="004F5584">
        <w:rPr>
          <w:i w:val="0"/>
          <w:color w:val="000000" w:themeColor="text1"/>
          <w:lang w:val="en-ID"/>
        </w:rPr>
        <w:t xml:space="preserve">Questionnaire </w:t>
      </w:r>
      <w:r w:rsidR="009A661A">
        <w:rPr>
          <w:i w:val="0"/>
          <w:color w:val="000000" w:themeColor="text1"/>
          <w:lang w:val="en-ID"/>
        </w:rPr>
        <w:t>Arrangement</w:t>
      </w:r>
    </w:p>
    <w:p w14:paraId="757BD308" w14:textId="353EE410" w:rsidR="0081678E" w:rsidRDefault="0081678E" w:rsidP="0081678E">
      <w:pPr>
        <w:pStyle w:val="SubJudul"/>
        <w:numPr>
          <w:ilvl w:val="0"/>
          <w:numId w:val="0"/>
        </w:numPr>
        <w:rPr>
          <w:b w:val="0"/>
          <w:bCs/>
          <w:color w:val="000000" w:themeColor="text1"/>
          <w:szCs w:val="20"/>
        </w:rPr>
      </w:pPr>
      <w:r w:rsidRPr="00A06460">
        <w:rPr>
          <w:b w:val="0"/>
          <w:bCs/>
          <w:color w:val="000000" w:themeColor="text1"/>
          <w:szCs w:val="20"/>
        </w:rPr>
        <w:t xml:space="preserve">After the hypothesis is developed, the next step is making a questionnaire. Questionnaire in this study is in Table 1. After the questionnaire was created, the next step was to conduct a readability test for 5 potential respondents who had used loan-based FinTech services. This readability test is carried out to determine potential respondents' understanding and find equivalent words that cause misinterpretation </w:t>
      </w:r>
      <w:r w:rsidRPr="00A06460">
        <w:rPr>
          <w:b w:val="0"/>
          <w:bCs/>
          <w:color w:val="000000" w:themeColor="text1"/>
          <w:szCs w:val="20"/>
        </w:rPr>
        <w:fldChar w:fldCharType="begin" w:fldLock="1"/>
      </w:r>
      <w:r>
        <w:rPr>
          <w:b w:val="0"/>
          <w:bCs/>
          <w:color w:val="000000" w:themeColor="text1"/>
          <w:szCs w:val="20"/>
        </w:rPr>
        <w:instrText>ADDIN CSL_CITATION {"citationItems":[{"id":"ITEM-1","itemData":{"author":[{"dropping-particle":"","family":"Wirani","given":"Yekti","non-dropping-particle":"","parse-names":false,"suffix":""},{"dropping-particle":"","family":"Diniputri","given":"Latifa","non-dropping-particle":"","parse-names":false,"suffix":""},{"dropping-particle":"","family":"Romadhon","given":"Muh Syaiful","non-dropping-particle":"","parse-names":false,"suffix":""}],"container-title":"8th International Conference on Information and Communication Technology (ICoICT)","id":"ITEM-1","issued":{"date-parts":[["2020"]]},"title":"Investigating the Influence of Information Quality , Information Seeking , and Familiarity with Purchase Intentions : A Perspective of Instagram Users in Indonesia","type":"article-journal"},"uris":["http://www.mendeley.com/documents/?uuid=57524824-2e83-4eda-b899-7e239f7b2f43"]}],"mendeley":{"formattedCitation":"[32]","plainTextFormattedCitation":"[32]","previouslyFormattedCitation":"[32]"},"properties":{"noteIndex":0},"schema":"https://github.com/citation-style-language/schema/raw/master/csl-citation.json"}</w:instrText>
      </w:r>
      <w:r w:rsidRPr="00A06460">
        <w:rPr>
          <w:b w:val="0"/>
          <w:bCs/>
          <w:color w:val="000000" w:themeColor="text1"/>
          <w:szCs w:val="20"/>
        </w:rPr>
        <w:fldChar w:fldCharType="separate"/>
      </w:r>
      <w:r w:rsidRPr="00227A76">
        <w:rPr>
          <w:b w:val="0"/>
          <w:bCs/>
          <w:noProof/>
          <w:color w:val="000000" w:themeColor="text1"/>
          <w:szCs w:val="20"/>
        </w:rPr>
        <w:t>[32]</w:t>
      </w:r>
      <w:r w:rsidRPr="00A06460">
        <w:rPr>
          <w:b w:val="0"/>
          <w:bCs/>
          <w:color w:val="000000" w:themeColor="text1"/>
          <w:szCs w:val="20"/>
        </w:rPr>
        <w:fldChar w:fldCharType="end"/>
      </w:r>
      <w:r w:rsidRPr="00A06460">
        <w:rPr>
          <w:b w:val="0"/>
          <w:bCs/>
          <w:color w:val="000000" w:themeColor="text1"/>
          <w:szCs w:val="20"/>
        </w:rPr>
        <w:t>.</w:t>
      </w:r>
      <w:r>
        <w:rPr>
          <w:b w:val="0"/>
          <w:bCs/>
          <w:color w:val="000000" w:themeColor="text1"/>
          <w:szCs w:val="20"/>
        </w:rPr>
        <w:t xml:space="preserve"> </w:t>
      </w:r>
      <w:r w:rsidRPr="00A06460">
        <w:rPr>
          <w:b w:val="0"/>
          <w:bCs/>
          <w:color w:val="000000" w:themeColor="text1"/>
          <w:szCs w:val="20"/>
        </w:rPr>
        <w:t>In this study, 24 indicators are used to evaluate the IR, PI, SC, TL, FM, and IU variables as in Table 1. These indicators are obtained from previous studies which also use variables that have similarities. These indicators will be tested using reliability and validity testing. The questionnaire to be distributed consists of two parts, namely the first part used to obtain information about the respondents' demographics. The</w:t>
      </w:r>
      <w:r w:rsidR="0046419A">
        <w:rPr>
          <w:b w:val="0"/>
          <w:bCs/>
          <w:color w:val="000000" w:themeColor="text1"/>
          <w:szCs w:val="20"/>
        </w:rPr>
        <w:t xml:space="preserve"> second</w:t>
      </w:r>
      <w:r w:rsidRPr="00A06460">
        <w:rPr>
          <w:b w:val="0"/>
          <w:bCs/>
          <w:color w:val="000000" w:themeColor="text1"/>
          <w:szCs w:val="20"/>
        </w:rPr>
        <w:t xml:space="preserve"> part is a statement to </w:t>
      </w:r>
      <w:r w:rsidR="0046419A">
        <w:rPr>
          <w:b w:val="0"/>
          <w:bCs/>
          <w:color w:val="000000" w:themeColor="text1"/>
          <w:szCs w:val="20"/>
        </w:rPr>
        <w:t>receive</w:t>
      </w:r>
      <w:r w:rsidRPr="00A06460">
        <w:rPr>
          <w:b w:val="0"/>
          <w:bCs/>
          <w:color w:val="000000" w:themeColor="text1"/>
          <w:szCs w:val="20"/>
        </w:rPr>
        <w:t xml:space="preserve"> the variables in this study. This research </w:t>
      </w:r>
      <w:r w:rsidR="0046419A">
        <w:rPr>
          <w:b w:val="0"/>
          <w:bCs/>
          <w:color w:val="000000" w:themeColor="text1"/>
          <w:szCs w:val="20"/>
        </w:rPr>
        <w:t>adopts</w:t>
      </w:r>
      <w:r w:rsidRPr="00A06460">
        <w:rPr>
          <w:b w:val="0"/>
          <w:bCs/>
          <w:color w:val="000000" w:themeColor="text1"/>
          <w:szCs w:val="20"/>
        </w:rPr>
        <w:t xml:space="preserve"> a Likert scale with </w:t>
      </w:r>
      <w:proofErr w:type="spellStart"/>
      <w:r w:rsidRPr="00A06460">
        <w:rPr>
          <w:b w:val="0"/>
          <w:bCs/>
          <w:color w:val="000000" w:themeColor="text1"/>
          <w:szCs w:val="20"/>
        </w:rPr>
        <w:t>a</w:t>
      </w:r>
      <w:proofErr w:type="spellEnd"/>
      <w:r w:rsidRPr="00A06460">
        <w:rPr>
          <w:b w:val="0"/>
          <w:bCs/>
          <w:color w:val="000000" w:themeColor="text1"/>
          <w:szCs w:val="20"/>
        </w:rPr>
        <w:t xml:space="preserve"> </w:t>
      </w:r>
      <w:r w:rsidR="004F5B0D">
        <w:rPr>
          <w:b w:val="0"/>
          <w:bCs/>
          <w:color w:val="000000" w:themeColor="text1"/>
          <w:szCs w:val="20"/>
        </w:rPr>
        <w:t>area</w:t>
      </w:r>
      <w:r w:rsidRPr="00A06460">
        <w:rPr>
          <w:b w:val="0"/>
          <w:bCs/>
          <w:color w:val="000000" w:themeColor="text1"/>
          <w:szCs w:val="20"/>
        </w:rPr>
        <w:t xml:space="preserve"> of 1 to 4. The value range </w:t>
      </w:r>
      <w:r w:rsidR="0046419A">
        <w:rPr>
          <w:b w:val="0"/>
          <w:bCs/>
          <w:color w:val="000000" w:themeColor="text1"/>
          <w:szCs w:val="20"/>
        </w:rPr>
        <w:t>one</w:t>
      </w:r>
      <w:r w:rsidRPr="00A06460">
        <w:rPr>
          <w:b w:val="0"/>
          <w:bCs/>
          <w:color w:val="000000" w:themeColor="text1"/>
          <w:szCs w:val="20"/>
        </w:rPr>
        <w:t xml:space="preserve"> is used to strongly disagree, value </w:t>
      </w:r>
      <w:r w:rsidR="0046419A">
        <w:rPr>
          <w:b w:val="0"/>
          <w:bCs/>
          <w:color w:val="000000" w:themeColor="text1"/>
          <w:szCs w:val="20"/>
        </w:rPr>
        <w:t>two</w:t>
      </w:r>
      <w:r w:rsidRPr="00A06460">
        <w:rPr>
          <w:b w:val="0"/>
          <w:bCs/>
          <w:color w:val="000000" w:themeColor="text1"/>
          <w:szCs w:val="20"/>
        </w:rPr>
        <w:t xml:space="preserve"> states disagree, value </w:t>
      </w:r>
      <w:r w:rsidR="0046419A">
        <w:rPr>
          <w:b w:val="0"/>
          <w:bCs/>
          <w:color w:val="000000" w:themeColor="text1"/>
          <w:szCs w:val="20"/>
        </w:rPr>
        <w:t>three</w:t>
      </w:r>
      <w:r w:rsidRPr="00A06460">
        <w:rPr>
          <w:b w:val="0"/>
          <w:bCs/>
          <w:color w:val="000000" w:themeColor="text1"/>
          <w:szCs w:val="20"/>
        </w:rPr>
        <w:t xml:space="preserve"> states agree, and value </w:t>
      </w:r>
      <w:r w:rsidR="0046419A">
        <w:rPr>
          <w:b w:val="0"/>
          <w:bCs/>
          <w:color w:val="000000" w:themeColor="text1"/>
          <w:szCs w:val="20"/>
        </w:rPr>
        <w:t>four</w:t>
      </w:r>
      <w:r w:rsidRPr="00A06460">
        <w:rPr>
          <w:b w:val="0"/>
          <w:bCs/>
          <w:color w:val="000000" w:themeColor="text1"/>
          <w:szCs w:val="20"/>
        </w:rPr>
        <w:t xml:space="preserve"> states strongly agree.</w:t>
      </w:r>
    </w:p>
    <w:p w14:paraId="4139710D" w14:textId="51345C1D" w:rsidR="00A06460" w:rsidRPr="008E2393" w:rsidRDefault="00A06460" w:rsidP="008E2393">
      <w:pPr>
        <w:pStyle w:val="Isi"/>
        <w:spacing w:line="240" w:lineRule="auto"/>
        <w:jc w:val="center"/>
        <w:rPr>
          <w:rFonts w:cs="Palatino Linotype"/>
          <w:sz w:val="18"/>
          <w:szCs w:val="18"/>
        </w:rPr>
      </w:pPr>
      <w:r w:rsidRPr="008E2393">
        <w:rPr>
          <w:rFonts w:cs="Palatino Linotype"/>
          <w:sz w:val="18"/>
          <w:szCs w:val="18"/>
        </w:rPr>
        <w:t>Table 1. Research Questionnaire</w:t>
      </w:r>
    </w:p>
    <w:tbl>
      <w:tblPr>
        <w:tblW w:w="8642" w:type="dxa"/>
        <w:jc w:val="center"/>
        <w:tblLayout w:type="fixed"/>
        <w:tblLook w:val="01E0" w:firstRow="1" w:lastRow="1" w:firstColumn="1" w:lastColumn="1" w:noHBand="0" w:noVBand="0"/>
      </w:tblPr>
      <w:tblGrid>
        <w:gridCol w:w="1980"/>
        <w:gridCol w:w="1276"/>
        <w:gridCol w:w="5386"/>
      </w:tblGrid>
      <w:tr w:rsidR="00A06460" w:rsidRPr="00A06460" w14:paraId="33AD53E8" w14:textId="77777777" w:rsidTr="008E2393">
        <w:trPr>
          <w:tblHeader/>
          <w:jc w:val="center"/>
        </w:trPr>
        <w:tc>
          <w:tcPr>
            <w:tcW w:w="1980" w:type="dxa"/>
            <w:tcBorders>
              <w:top w:val="single" w:sz="4" w:space="0" w:color="auto"/>
              <w:bottom w:val="single" w:sz="4" w:space="0" w:color="auto"/>
            </w:tcBorders>
            <w:vAlign w:val="center"/>
          </w:tcPr>
          <w:p w14:paraId="119E807A" w14:textId="77777777" w:rsidR="00A06460" w:rsidRPr="0031699D" w:rsidRDefault="00A06460" w:rsidP="008E2393">
            <w:pPr>
              <w:spacing w:before="113"/>
              <w:contextualSpacing/>
              <w:jc w:val="center"/>
              <w:rPr>
                <w:rFonts w:ascii="Palatino Linotype" w:hAnsi="Palatino Linotype"/>
                <w:b/>
                <w:sz w:val="18"/>
                <w:szCs w:val="18"/>
              </w:rPr>
            </w:pPr>
            <w:r w:rsidRPr="0031699D">
              <w:rPr>
                <w:rFonts w:ascii="Palatino Linotype" w:hAnsi="Palatino Linotype"/>
                <w:b/>
                <w:sz w:val="18"/>
                <w:szCs w:val="18"/>
              </w:rPr>
              <w:t>Variable</w:t>
            </w:r>
          </w:p>
        </w:tc>
        <w:tc>
          <w:tcPr>
            <w:tcW w:w="1276" w:type="dxa"/>
            <w:tcBorders>
              <w:top w:val="single" w:sz="4" w:space="0" w:color="auto"/>
              <w:bottom w:val="single" w:sz="4" w:space="0" w:color="auto"/>
            </w:tcBorders>
            <w:vAlign w:val="center"/>
          </w:tcPr>
          <w:p w14:paraId="08B37A87" w14:textId="77777777" w:rsidR="00A06460" w:rsidRPr="0031699D" w:rsidRDefault="00A06460" w:rsidP="008E2393">
            <w:pPr>
              <w:spacing w:before="113"/>
              <w:contextualSpacing/>
              <w:jc w:val="center"/>
              <w:rPr>
                <w:rFonts w:ascii="Palatino Linotype" w:hAnsi="Palatino Linotype"/>
                <w:b/>
                <w:sz w:val="18"/>
                <w:szCs w:val="18"/>
              </w:rPr>
            </w:pPr>
            <w:r w:rsidRPr="0031699D">
              <w:rPr>
                <w:rFonts w:ascii="Palatino Linotype" w:hAnsi="Palatino Linotype"/>
                <w:b/>
                <w:sz w:val="18"/>
                <w:szCs w:val="18"/>
              </w:rPr>
              <w:t>Indicator</w:t>
            </w:r>
          </w:p>
        </w:tc>
        <w:tc>
          <w:tcPr>
            <w:tcW w:w="5386" w:type="dxa"/>
            <w:tcBorders>
              <w:top w:val="single" w:sz="4" w:space="0" w:color="auto"/>
              <w:bottom w:val="single" w:sz="4" w:space="0" w:color="auto"/>
            </w:tcBorders>
            <w:vAlign w:val="center"/>
          </w:tcPr>
          <w:p w14:paraId="687034FA" w14:textId="77777777" w:rsidR="00A06460" w:rsidRPr="0031699D" w:rsidRDefault="00A06460" w:rsidP="008E2393">
            <w:pPr>
              <w:spacing w:before="113"/>
              <w:contextualSpacing/>
              <w:jc w:val="center"/>
              <w:rPr>
                <w:rFonts w:ascii="Palatino Linotype" w:hAnsi="Palatino Linotype"/>
                <w:b/>
                <w:sz w:val="18"/>
                <w:szCs w:val="18"/>
              </w:rPr>
            </w:pPr>
            <w:r w:rsidRPr="0031699D">
              <w:rPr>
                <w:rFonts w:ascii="Palatino Linotype" w:hAnsi="Palatino Linotype"/>
                <w:b/>
                <w:sz w:val="18"/>
                <w:szCs w:val="18"/>
              </w:rPr>
              <w:t>Items</w:t>
            </w:r>
          </w:p>
        </w:tc>
      </w:tr>
      <w:tr w:rsidR="00A06460" w:rsidRPr="00A06460" w14:paraId="0E8B1C8C" w14:textId="77777777" w:rsidTr="008E2393">
        <w:trPr>
          <w:jc w:val="center"/>
        </w:trPr>
        <w:tc>
          <w:tcPr>
            <w:tcW w:w="1980" w:type="dxa"/>
            <w:vMerge w:val="restart"/>
            <w:tcBorders>
              <w:top w:val="single" w:sz="4" w:space="0" w:color="auto"/>
            </w:tcBorders>
            <w:shd w:val="clear" w:color="auto" w:fill="auto"/>
            <w:vAlign w:val="center"/>
          </w:tcPr>
          <w:p w14:paraId="1B78B324" w14:textId="77777777" w:rsidR="00A06460" w:rsidRPr="0031699D" w:rsidRDefault="00A06460" w:rsidP="00C179A0">
            <w:pPr>
              <w:spacing w:before="113"/>
              <w:contextualSpacing/>
              <w:jc w:val="center"/>
              <w:rPr>
                <w:rFonts w:ascii="Palatino Linotype" w:hAnsi="Palatino Linotype"/>
                <w:sz w:val="18"/>
                <w:szCs w:val="18"/>
              </w:rPr>
            </w:pPr>
            <w:r w:rsidRPr="0031699D">
              <w:rPr>
                <w:rFonts w:ascii="Palatino Linotype" w:hAnsi="Palatino Linotype"/>
                <w:sz w:val="18"/>
                <w:szCs w:val="18"/>
              </w:rPr>
              <w:t>Interest Rate (IR)</w:t>
            </w:r>
          </w:p>
        </w:tc>
        <w:tc>
          <w:tcPr>
            <w:tcW w:w="1276" w:type="dxa"/>
            <w:tcBorders>
              <w:top w:val="single" w:sz="4" w:space="0" w:color="auto"/>
            </w:tcBorders>
            <w:vAlign w:val="center"/>
          </w:tcPr>
          <w:p w14:paraId="007D26FA" w14:textId="77777777" w:rsidR="00A06460" w:rsidRPr="0031699D" w:rsidRDefault="00A06460" w:rsidP="00C179A0">
            <w:pPr>
              <w:spacing w:before="113"/>
              <w:contextualSpacing/>
              <w:jc w:val="center"/>
              <w:rPr>
                <w:rFonts w:ascii="Palatino Linotype" w:hAnsi="Palatino Linotype"/>
                <w:sz w:val="18"/>
                <w:szCs w:val="18"/>
              </w:rPr>
            </w:pPr>
            <w:r w:rsidRPr="0031699D">
              <w:rPr>
                <w:rFonts w:ascii="Palatino Linotype" w:hAnsi="Palatino Linotype"/>
                <w:sz w:val="18"/>
                <w:szCs w:val="18"/>
              </w:rPr>
              <w:t>IR1</w:t>
            </w:r>
          </w:p>
        </w:tc>
        <w:tc>
          <w:tcPr>
            <w:tcW w:w="5386" w:type="dxa"/>
            <w:tcBorders>
              <w:top w:val="single" w:sz="4" w:space="0" w:color="auto"/>
            </w:tcBorders>
            <w:vAlign w:val="center"/>
          </w:tcPr>
          <w:p w14:paraId="5C4CEF74" w14:textId="63A94FEA" w:rsidR="00A06460" w:rsidRPr="0031699D" w:rsidRDefault="00A06460" w:rsidP="00C179A0">
            <w:pPr>
              <w:spacing w:before="113"/>
              <w:contextualSpacing/>
              <w:rPr>
                <w:rFonts w:ascii="Palatino Linotype" w:hAnsi="Palatino Linotype"/>
                <w:sz w:val="18"/>
                <w:szCs w:val="18"/>
              </w:rPr>
            </w:pPr>
            <w:r w:rsidRPr="0031699D">
              <w:rPr>
                <w:rFonts w:ascii="Palatino Linotype" w:hAnsi="Palatino Linotype"/>
                <w:sz w:val="18"/>
                <w:szCs w:val="18"/>
              </w:rPr>
              <w:t>The interest rates</w:t>
            </w:r>
            <w:r w:rsidR="004F5B0D">
              <w:rPr>
                <w:rFonts w:ascii="Palatino Linotype" w:hAnsi="Palatino Linotype"/>
                <w:sz w:val="18"/>
                <w:szCs w:val="18"/>
              </w:rPr>
              <w:t xml:space="preserve"> proposed</w:t>
            </w:r>
            <w:r w:rsidRPr="0031699D">
              <w:rPr>
                <w:rFonts w:ascii="Palatino Linotype" w:hAnsi="Palatino Linotype"/>
                <w:sz w:val="18"/>
                <w:szCs w:val="18"/>
              </w:rPr>
              <w:t xml:space="preserve"> by FinTech are more competitive than banks</w:t>
            </w:r>
          </w:p>
        </w:tc>
      </w:tr>
      <w:tr w:rsidR="00A06460" w:rsidRPr="00A06460" w14:paraId="0016BB95" w14:textId="77777777" w:rsidTr="008E2393">
        <w:trPr>
          <w:jc w:val="center"/>
        </w:trPr>
        <w:tc>
          <w:tcPr>
            <w:tcW w:w="1980" w:type="dxa"/>
            <w:vMerge/>
            <w:shd w:val="clear" w:color="auto" w:fill="auto"/>
            <w:vAlign w:val="center"/>
          </w:tcPr>
          <w:p w14:paraId="09D2D8EA" w14:textId="77777777" w:rsidR="00A06460" w:rsidRPr="0031699D" w:rsidRDefault="00A06460" w:rsidP="00C179A0">
            <w:pPr>
              <w:spacing w:before="113"/>
              <w:contextualSpacing/>
              <w:jc w:val="center"/>
              <w:rPr>
                <w:rFonts w:ascii="Palatino Linotype" w:hAnsi="Palatino Linotype"/>
                <w:sz w:val="18"/>
                <w:szCs w:val="18"/>
              </w:rPr>
            </w:pPr>
          </w:p>
        </w:tc>
        <w:tc>
          <w:tcPr>
            <w:tcW w:w="1276" w:type="dxa"/>
            <w:vAlign w:val="center"/>
          </w:tcPr>
          <w:p w14:paraId="78D8495E" w14:textId="77777777" w:rsidR="00A06460" w:rsidRPr="0031699D" w:rsidRDefault="00A06460" w:rsidP="00C179A0">
            <w:pPr>
              <w:spacing w:before="113"/>
              <w:contextualSpacing/>
              <w:jc w:val="center"/>
              <w:rPr>
                <w:rFonts w:ascii="Palatino Linotype" w:hAnsi="Palatino Linotype"/>
                <w:sz w:val="18"/>
                <w:szCs w:val="18"/>
              </w:rPr>
            </w:pPr>
            <w:r w:rsidRPr="0031699D">
              <w:rPr>
                <w:rFonts w:ascii="Palatino Linotype" w:hAnsi="Palatino Linotype"/>
                <w:sz w:val="18"/>
                <w:szCs w:val="18"/>
              </w:rPr>
              <w:t>IR2</w:t>
            </w:r>
          </w:p>
        </w:tc>
        <w:tc>
          <w:tcPr>
            <w:tcW w:w="5386" w:type="dxa"/>
            <w:vAlign w:val="center"/>
          </w:tcPr>
          <w:p w14:paraId="1C839C7A" w14:textId="77777777" w:rsidR="00A06460" w:rsidRPr="0031699D" w:rsidRDefault="00A06460" w:rsidP="00C179A0">
            <w:pPr>
              <w:spacing w:before="113"/>
              <w:contextualSpacing/>
              <w:rPr>
                <w:rFonts w:ascii="Palatino Linotype" w:hAnsi="Palatino Linotype"/>
                <w:sz w:val="18"/>
                <w:szCs w:val="18"/>
              </w:rPr>
            </w:pPr>
            <w:r w:rsidRPr="0031699D">
              <w:rPr>
                <w:rFonts w:ascii="Palatino Linotype" w:hAnsi="Palatino Linotype"/>
                <w:sz w:val="18"/>
                <w:szCs w:val="18"/>
              </w:rPr>
              <w:t>Low interest rates allow easy installment payments</w:t>
            </w:r>
          </w:p>
        </w:tc>
      </w:tr>
      <w:tr w:rsidR="00A06460" w:rsidRPr="00A06460" w14:paraId="27C05A17" w14:textId="77777777" w:rsidTr="008E2393">
        <w:trPr>
          <w:jc w:val="center"/>
        </w:trPr>
        <w:tc>
          <w:tcPr>
            <w:tcW w:w="1980" w:type="dxa"/>
            <w:vMerge/>
            <w:shd w:val="clear" w:color="auto" w:fill="auto"/>
            <w:vAlign w:val="center"/>
          </w:tcPr>
          <w:p w14:paraId="0326ECA5" w14:textId="77777777" w:rsidR="00A06460" w:rsidRPr="0031699D" w:rsidRDefault="00A06460" w:rsidP="00C179A0">
            <w:pPr>
              <w:spacing w:before="113"/>
              <w:contextualSpacing/>
              <w:jc w:val="center"/>
              <w:rPr>
                <w:rFonts w:ascii="Palatino Linotype" w:hAnsi="Palatino Linotype"/>
                <w:i/>
                <w:sz w:val="18"/>
                <w:szCs w:val="18"/>
              </w:rPr>
            </w:pPr>
          </w:p>
        </w:tc>
        <w:tc>
          <w:tcPr>
            <w:tcW w:w="1276" w:type="dxa"/>
            <w:vAlign w:val="center"/>
          </w:tcPr>
          <w:p w14:paraId="07511B30" w14:textId="77777777" w:rsidR="00A06460" w:rsidRPr="0031699D" w:rsidRDefault="00A06460" w:rsidP="00C179A0">
            <w:pPr>
              <w:spacing w:before="113"/>
              <w:contextualSpacing/>
              <w:jc w:val="center"/>
              <w:rPr>
                <w:rFonts w:ascii="Palatino Linotype" w:hAnsi="Palatino Linotype"/>
                <w:sz w:val="18"/>
                <w:szCs w:val="18"/>
              </w:rPr>
            </w:pPr>
            <w:r w:rsidRPr="0031699D">
              <w:rPr>
                <w:rFonts w:ascii="Palatino Linotype" w:hAnsi="Palatino Linotype"/>
                <w:sz w:val="18"/>
                <w:szCs w:val="18"/>
              </w:rPr>
              <w:t>IR3</w:t>
            </w:r>
          </w:p>
        </w:tc>
        <w:tc>
          <w:tcPr>
            <w:tcW w:w="5386" w:type="dxa"/>
            <w:vAlign w:val="center"/>
          </w:tcPr>
          <w:p w14:paraId="4D8CA5C5" w14:textId="77777777" w:rsidR="00A06460" w:rsidRPr="0031699D" w:rsidRDefault="00A06460" w:rsidP="00C179A0">
            <w:pPr>
              <w:spacing w:before="113"/>
              <w:contextualSpacing/>
              <w:rPr>
                <w:rFonts w:ascii="Palatino Linotype" w:hAnsi="Palatino Linotype"/>
                <w:sz w:val="18"/>
                <w:szCs w:val="18"/>
              </w:rPr>
            </w:pPr>
            <w:r w:rsidRPr="0031699D">
              <w:rPr>
                <w:rFonts w:ascii="Palatino Linotype" w:hAnsi="Palatino Linotype"/>
                <w:sz w:val="18"/>
                <w:szCs w:val="18"/>
              </w:rPr>
              <w:t>Low interest rates allow easy repayment of loan funds</w:t>
            </w:r>
          </w:p>
        </w:tc>
      </w:tr>
      <w:tr w:rsidR="00A06460" w:rsidRPr="00A06460" w14:paraId="6D9173FE" w14:textId="77777777" w:rsidTr="008E2393">
        <w:trPr>
          <w:jc w:val="center"/>
        </w:trPr>
        <w:tc>
          <w:tcPr>
            <w:tcW w:w="1980" w:type="dxa"/>
            <w:vMerge/>
            <w:vAlign w:val="center"/>
          </w:tcPr>
          <w:p w14:paraId="194CFEB9" w14:textId="77777777" w:rsidR="00A06460" w:rsidRPr="0031699D" w:rsidRDefault="00A06460" w:rsidP="00C179A0">
            <w:pPr>
              <w:spacing w:before="113"/>
              <w:contextualSpacing/>
              <w:jc w:val="center"/>
              <w:rPr>
                <w:rFonts w:ascii="Palatino Linotype" w:hAnsi="Palatino Linotype"/>
                <w:sz w:val="18"/>
                <w:szCs w:val="18"/>
              </w:rPr>
            </w:pPr>
          </w:p>
        </w:tc>
        <w:tc>
          <w:tcPr>
            <w:tcW w:w="1276" w:type="dxa"/>
            <w:vAlign w:val="center"/>
          </w:tcPr>
          <w:p w14:paraId="39D4B4EE" w14:textId="77777777" w:rsidR="00A06460" w:rsidRPr="0031699D" w:rsidRDefault="00A06460" w:rsidP="00C179A0">
            <w:pPr>
              <w:spacing w:before="113"/>
              <w:contextualSpacing/>
              <w:jc w:val="center"/>
              <w:rPr>
                <w:rFonts w:ascii="Palatino Linotype" w:hAnsi="Palatino Linotype"/>
                <w:sz w:val="18"/>
                <w:szCs w:val="18"/>
              </w:rPr>
            </w:pPr>
            <w:r w:rsidRPr="0031699D">
              <w:rPr>
                <w:rFonts w:ascii="Palatino Linotype" w:hAnsi="Palatino Linotype"/>
                <w:sz w:val="18"/>
                <w:szCs w:val="18"/>
              </w:rPr>
              <w:t>IR4</w:t>
            </w:r>
          </w:p>
        </w:tc>
        <w:tc>
          <w:tcPr>
            <w:tcW w:w="5386" w:type="dxa"/>
            <w:vAlign w:val="center"/>
          </w:tcPr>
          <w:p w14:paraId="302DF15E" w14:textId="77777777" w:rsidR="00A06460" w:rsidRPr="0031699D" w:rsidRDefault="00A06460" w:rsidP="00C179A0">
            <w:pPr>
              <w:spacing w:before="113"/>
              <w:contextualSpacing/>
              <w:rPr>
                <w:rFonts w:ascii="Palatino Linotype" w:hAnsi="Palatino Linotype"/>
                <w:sz w:val="18"/>
                <w:szCs w:val="18"/>
              </w:rPr>
            </w:pPr>
            <w:r w:rsidRPr="0031699D">
              <w:rPr>
                <w:rFonts w:ascii="Palatino Linotype" w:hAnsi="Palatino Linotype"/>
                <w:sz w:val="18"/>
                <w:szCs w:val="18"/>
              </w:rPr>
              <w:t>Low interest rates reduce the possibility of default</w:t>
            </w:r>
          </w:p>
        </w:tc>
      </w:tr>
      <w:tr w:rsidR="00A06460" w:rsidRPr="00A06460" w14:paraId="34AD1223" w14:textId="77777777" w:rsidTr="008E2393">
        <w:trPr>
          <w:jc w:val="center"/>
        </w:trPr>
        <w:tc>
          <w:tcPr>
            <w:tcW w:w="1980" w:type="dxa"/>
            <w:vMerge w:val="restart"/>
            <w:vAlign w:val="center"/>
          </w:tcPr>
          <w:p w14:paraId="001BD71B" w14:textId="77777777" w:rsidR="00A06460" w:rsidRPr="0031699D" w:rsidRDefault="00A06460" w:rsidP="00C179A0">
            <w:pPr>
              <w:spacing w:before="113"/>
              <w:contextualSpacing/>
              <w:jc w:val="center"/>
              <w:rPr>
                <w:rFonts w:ascii="Palatino Linotype" w:hAnsi="Palatino Linotype"/>
                <w:sz w:val="18"/>
                <w:szCs w:val="18"/>
              </w:rPr>
            </w:pPr>
            <w:r w:rsidRPr="0031699D">
              <w:rPr>
                <w:rFonts w:ascii="Palatino Linotype" w:hAnsi="Palatino Linotype"/>
                <w:sz w:val="18"/>
                <w:szCs w:val="18"/>
              </w:rPr>
              <w:t>Personal Innovativeness (PI)</w:t>
            </w:r>
          </w:p>
        </w:tc>
        <w:tc>
          <w:tcPr>
            <w:tcW w:w="1276" w:type="dxa"/>
            <w:vAlign w:val="center"/>
          </w:tcPr>
          <w:p w14:paraId="4717D5CA" w14:textId="77777777" w:rsidR="00A06460" w:rsidRPr="0031699D" w:rsidRDefault="00A06460" w:rsidP="00C179A0">
            <w:pPr>
              <w:spacing w:before="113"/>
              <w:contextualSpacing/>
              <w:jc w:val="center"/>
              <w:rPr>
                <w:rFonts w:ascii="Palatino Linotype" w:hAnsi="Palatino Linotype"/>
                <w:sz w:val="18"/>
                <w:szCs w:val="18"/>
              </w:rPr>
            </w:pPr>
            <w:r w:rsidRPr="0031699D">
              <w:rPr>
                <w:rFonts w:ascii="Palatino Linotype" w:hAnsi="Palatino Linotype"/>
                <w:sz w:val="18"/>
                <w:szCs w:val="18"/>
              </w:rPr>
              <w:t>PI1</w:t>
            </w:r>
          </w:p>
        </w:tc>
        <w:tc>
          <w:tcPr>
            <w:tcW w:w="5386" w:type="dxa"/>
            <w:vAlign w:val="center"/>
          </w:tcPr>
          <w:p w14:paraId="78717BF3" w14:textId="77777777" w:rsidR="00A06460" w:rsidRPr="0031699D" w:rsidRDefault="00A06460" w:rsidP="00C179A0">
            <w:pPr>
              <w:spacing w:before="113"/>
              <w:contextualSpacing/>
              <w:rPr>
                <w:rFonts w:ascii="Palatino Linotype" w:hAnsi="Palatino Linotype"/>
                <w:sz w:val="18"/>
                <w:szCs w:val="18"/>
              </w:rPr>
            </w:pPr>
            <w:r w:rsidRPr="0031699D">
              <w:rPr>
                <w:rFonts w:ascii="Palatino Linotype" w:hAnsi="Palatino Linotype"/>
                <w:sz w:val="18"/>
                <w:szCs w:val="18"/>
              </w:rPr>
              <w:t>I want to be the first to use FinTech</w:t>
            </w:r>
          </w:p>
        </w:tc>
      </w:tr>
      <w:tr w:rsidR="00A06460" w:rsidRPr="00A06460" w14:paraId="35807728" w14:textId="77777777" w:rsidTr="008E2393">
        <w:trPr>
          <w:jc w:val="center"/>
        </w:trPr>
        <w:tc>
          <w:tcPr>
            <w:tcW w:w="1980" w:type="dxa"/>
            <w:vMerge/>
            <w:vAlign w:val="center"/>
          </w:tcPr>
          <w:p w14:paraId="6E9DA21A" w14:textId="77777777" w:rsidR="00A06460" w:rsidRPr="0031699D" w:rsidRDefault="00A06460" w:rsidP="00C179A0">
            <w:pPr>
              <w:spacing w:before="113"/>
              <w:contextualSpacing/>
              <w:jc w:val="center"/>
              <w:rPr>
                <w:rFonts w:ascii="Palatino Linotype" w:hAnsi="Palatino Linotype"/>
                <w:sz w:val="18"/>
                <w:szCs w:val="18"/>
              </w:rPr>
            </w:pPr>
          </w:p>
        </w:tc>
        <w:tc>
          <w:tcPr>
            <w:tcW w:w="1276" w:type="dxa"/>
            <w:vAlign w:val="center"/>
          </w:tcPr>
          <w:p w14:paraId="3060B409" w14:textId="77777777" w:rsidR="00A06460" w:rsidRPr="0031699D" w:rsidRDefault="00A06460" w:rsidP="00C179A0">
            <w:pPr>
              <w:spacing w:before="113"/>
              <w:contextualSpacing/>
              <w:jc w:val="center"/>
              <w:rPr>
                <w:rFonts w:ascii="Palatino Linotype" w:hAnsi="Palatino Linotype"/>
                <w:sz w:val="18"/>
                <w:szCs w:val="18"/>
              </w:rPr>
            </w:pPr>
            <w:r w:rsidRPr="0031699D">
              <w:rPr>
                <w:rFonts w:ascii="Palatino Linotype" w:hAnsi="Palatino Linotype"/>
                <w:sz w:val="18"/>
                <w:szCs w:val="18"/>
              </w:rPr>
              <w:t>PI2</w:t>
            </w:r>
          </w:p>
        </w:tc>
        <w:tc>
          <w:tcPr>
            <w:tcW w:w="5386" w:type="dxa"/>
            <w:vAlign w:val="center"/>
          </w:tcPr>
          <w:p w14:paraId="08E78907" w14:textId="77777777" w:rsidR="00A06460" w:rsidRPr="0031699D" w:rsidRDefault="00A06460" w:rsidP="00C179A0">
            <w:pPr>
              <w:spacing w:before="113"/>
              <w:contextualSpacing/>
              <w:rPr>
                <w:rFonts w:ascii="Palatino Linotype" w:hAnsi="Palatino Linotype"/>
                <w:sz w:val="18"/>
                <w:szCs w:val="18"/>
              </w:rPr>
            </w:pPr>
            <w:r w:rsidRPr="0031699D">
              <w:rPr>
                <w:rFonts w:ascii="Palatino Linotype" w:hAnsi="Palatino Linotype"/>
                <w:sz w:val="18"/>
                <w:szCs w:val="18"/>
              </w:rPr>
              <w:t>I would like to know about FinTech, like its features, benefits and how to use it</w:t>
            </w:r>
          </w:p>
        </w:tc>
      </w:tr>
      <w:tr w:rsidR="00A06460" w:rsidRPr="00A06460" w14:paraId="54AA4784" w14:textId="77777777" w:rsidTr="008E2393">
        <w:trPr>
          <w:jc w:val="center"/>
        </w:trPr>
        <w:tc>
          <w:tcPr>
            <w:tcW w:w="1980" w:type="dxa"/>
            <w:vMerge/>
            <w:vAlign w:val="center"/>
          </w:tcPr>
          <w:p w14:paraId="1C681A6B" w14:textId="77777777" w:rsidR="00A06460" w:rsidRPr="0031699D" w:rsidRDefault="00A06460" w:rsidP="00C179A0">
            <w:pPr>
              <w:spacing w:before="113"/>
              <w:contextualSpacing/>
              <w:jc w:val="center"/>
              <w:rPr>
                <w:rFonts w:ascii="Palatino Linotype" w:hAnsi="Palatino Linotype"/>
                <w:sz w:val="18"/>
                <w:szCs w:val="18"/>
              </w:rPr>
            </w:pPr>
          </w:p>
        </w:tc>
        <w:tc>
          <w:tcPr>
            <w:tcW w:w="1276" w:type="dxa"/>
            <w:vAlign w:val="center"/>
          </w:tcPr>
          <w:p w14:paraId="60CA2906" w14:textId="77777777" w:rsidR="00A06460" w:rsidRPr="0031699D" w:rsidRDefault="00A06460" w:rsidP="00C179A0">
            <w:pPr>
              <w:spacing w:before="113"/>
              <w:contextualSpacing/>
              <w:jc w:val="center"/>
              <w:rPr>
                <w:rFonts w:ascii="Palatino Linotype" w:hAnsi="Palatino Linotype"/>
                <w:sz w:val="18"/>
                <w:szCs w:val="18"/>
              </w:rPr>
            </w:pPr>
            <w:r w:rsidRPr="0031699D">
              <w:rPr>
                <w:rFonts w:ascii="Palatino Linotype" w:hAnsi="Palatino Linotype"/>
                <w:sz w:val="18"/>
                <w:szCs w:val="18"/>
              </w:rPr>
              <w:t>PI3</w:t>
            </w:r>
          </w:p>
        </w:tc>
        <w:tc>
          <w:tcPr>
            <w:tcW w:w="5386" w:type="dxa"/>
            <w:vAlign w:val="center"/>
          </w:tcPr>
          <w:p w14:paraId="4694C730" w14:textId="77777777" w:rsidR="00A06460" w:rsidRPr="0031699D" w:rsidRDefault="00A06460" w:rsidP="00C179A0">
            <w:pPr>
              <w:spacing w:before="113"/>
              <w:contextualSpacing/>
              <w:rPr>
                <w:rFonts w:ascii="Palatino Linotype" w:hAnsi="Palatino Linotype"/>
                <w:sz w:val="18"/>
                <w:szCs w:val="18"/>
              </w:rPr>
            </w:pPr>
            <w:r w:rsidRPr="0031699D">
              <w:rPr>
                <w:rFonts w:ascii="Palatino Linotype" w:hAnsi="Palatino Linotype"/>
                <w:sz w:val="18"/>
                <w:szCs w:val="18"/>
              </w:rPr>
              <w:t>I am interested in trying FinTech</w:t>
            </w:r>
          </w:p>
        </w:tc>
      </w:tr>
      <w:tr w:rsidR="00A06460" w:rsidRPr="00A06460" w14:paraId="42B5940C" w14:textId="77777777" w:rsidTr="008E2393">
        <w:trPr>
          <w:jc w:val="center"/>
        </w:trPr>
        <w:tc>
          <w:tcPr>
            <w:tcW w:w="1980" w:type="dxa"/>
            <w:vMerge/>
            <w:vAlign w:val="center"/>
          </w:tcPr>
          <w:p w14:paraId="23866CF2" w14:textId="77777777" w:rsidR="00A06460" w:rsidRPr="0031699D" w:rsidRDefault="00A06460" w:rsidP="00C179A0">
            <w:pPr>
              <w:spacing w:before="113"/>
              <w:contextualSpacing/>
              <w:jc w:val="center"/>
              <w:rPr>
                <w:rFonts w:ascii="Palatino Linotype" w:hAnsi="Palatino Linotype"/>
                <w:sz w:val="18"/>
                <w:szCs w:val="18"/>
              </w:rPr>
            </w:pPr>
          </w:p>
        </w:tc>
        <w:tc>
          <w:tcPr>
            <w:tcW w:w="1276" w:type="dxa"/>
            <w:vAlign w:val="center"/>
          </w:tcPr>
          <w:p w14:paraId="770E3928" w14:textId="77777777" w:rsidR="00A06460" w:rsidRPr="0031699D" w:rsidRDefault="00A06460" w:rsidP="00C179A0">
            <w:pPr>
              <w:spacing w:before="113"/>
              <w:contextualSpacing/>
              <w:jc w:val="center"/>
              <w:rPr>
                <w:rFonts w:ascii="Palatino Linotype" w:hAnsi="Palatino Linotype"/>
                <w:sz w:val="18"/>
                <w:szCs w:val="18"/>
              </w:rPr>
            </w:pPr>
            <w:r w:rsidRPr="0031699D">
              <w:rPr>
                <w:rFonts w:ascii="Palatino Linotype" w:hAnsi="Palatino Linotype"/>
                <w:sz w:val="18"/>
                <w:szCs w:val="18"/>
              </w:rPr>
              <w:t>PI4</w:t>
            </w:r>
          </w:p>
        </w:tc>
        <w:tc>
          <w:tcPr>
            <w:tcW w:w="5386" w:type="dxa"/>
            <w:vAlign w:val="center"/>
          </w:tcPr>
          <w:p w14:paraId="77B3AB0A" w14:textId="77777777" w:rsidR="00A06460" w:rsidRPr="0031699D" w:rsidRDefault="00A06460" w:rsidP="00C179A0">
            <w:pPr>
              <w:spacing w:before="113"/>
              <w:contextualSpacing/>
              <w:rPr>
                <w:rFonts w:ascii="Palatino Linotype" w:hAnsi="Palatino Linotype"/>
                <w:sz w:val="18"/>
                <w:szCs w:val="18"/>
              </w:rPr>
            </w:pPr>
            <w:r w:rsidRPr="0031699D">
              <w:rPr>
                <w:rFonts w:ascii="Palatino Linotype" w:hAnsi="Palatino Linotype"/>
                <w:sz w:val="18"/>
                <w:szCs w:val="18"/>
              </w:rPr>
              <w:t>I have a great time trying out new technologies like FinTech</w:t>
            </w:r>
          </w:p>
        </w:tc>
      </w:tr>
      <w:tr w:rsidR="00A06460" w:rsidRPr="00A06460" w14:paraId="4816408D" w14:textId="77777777" w:rsidTr="008E2393">
        <w:trPr>
          <w:jc w:val="center"/>
        </w:trPr>
        <w:tc>
          <w:tcPr>
            <w:tcW w:w="1980" w:type="dxa"/>
            <w:vMerge w:val="restart"/>
            <w:vAlign w:val="center"/>
          </w:tcPr>
          <w:p w14:paraId="4AFD5C1D" w14:textId="77777777" w:rsidR="00A06460" w:rsidRPr="0031699D" w:rsidRDefault="00A06460" w:rsidP="00C179A0">
            <w:pPr>
              <w:spacing w:before="113"/>
              <w:contextualSpacing/>
              <w:jc w:val="center"/>
              <w:rPr>
                <w:rFonts w:ascii="Palatino Linotype" w:hAnsi="Palatino Linotype"/>
                <w:sz w:val="18"/>
                <w:szCs w:val="18"/>
              </w:rPr>
            </w:pPr>
            <w:r w:rsidRPr="0031699D">
              <w:rPr>
                <w:rFonts w:ascii="Palatino Linotype" w:hAnsi="Palatino Linotype"/>
                <w:sz w:val="18"/>
                <w:szCs w:val="18"/>
              </w:rPr>
              <w:t>Security (SC)</w:t>
            </w:r>
          </w:p>
        </w:tc>
        <w:tc>
          <w:tcPr>
            <w:tcW w:w="1276" w:type="dxa"/>
            <w:vAlign w:val="center"/>
          </w:tcPr>
          <w:p w14:paraId="74C39082" w14:textId="77777777" w:rsidR="00A06460" w:rsidRPr="0031699D" w:rsidRDefault="00A06460" w:rsidP="00C179A0">
            <w:pPr>
              <w:spacing w:before="113"/>
              <w:contextualSpacing/>
              <w:jc w:val="center"/>
              <w:rPr>
                <w:rFonts w:ascii="Palatino Linotype" w:hAnsi="Palatino Linotype"/>
                <w:sz w:val="18"/>
                <w:szCs w:val="18"/>
              </w:rPr>
            </w:pPr>
            <w:r w:rsidRPr="0031699D">
              <w:rPr>
                <w:rFonts w:ascii="Palatino Linotype" w:hAnsi="Palatino Linotype"/>
                <w:sz w:val="18"/>
                <w:szCs w:val="18"/>
              </w:rPr>
              <w:t>SC1</w:t>
            </w:r>
          </w:p>
        </w:tc>
        <w:tc>
          <w:tcPr>
            <w:tcW w:w="5386" w:type="dxa"/>
            <w:vAlign w:val="center"/>
          </w:tcPr>
          <w:p w14:paraId="0D8BD27A" w14:textId="77777777" w:rsidR="00A06460" w:rsidRPr="0031699D" w:rsidRDefault="00A06460" w:rsidP="00C179A0">
            <w:pPr>
              <w:spacing w:before="113"/>
              <w:contextualSpacing/>
              <w:rPr>
                <w:rFonts w:ascii="Palatino Linotype" w:hAnsi="Palatino Linotype"/>
                <w:sz w:val="18"/>
                <w:szCs w:val="18"/>
              </w:rPr>
            </w:pPr>
            <w:r w:rsidRPr="0031699D">
              <w:rPr>
                <w:rFonts w:ascii="Palatino Linotype" w:hAnsi="Palatino Linotype"/>
                <w:sz w:val="18"/>
                <w:szCs w:val="18"/>
              </w:rPr>
              <w:t>FinTech has regulatory protection technology</w:t>
            </w:r>
          </w:p>
        </w:tc>
      </w:tr>
      <w:tr w:rsidR="00A06460" w:rsidRPr="00A06460" w14:paraId="601D7A6A" w14:textId="77777777" w:rsidTr="008E2393">
        <w:trPr>
          <w:jc w:val="center"/>
        </w:trPr>
        <w:tc>
          <w:tcPr>
            <w:tcW w:w="1980" w:type="dxa"/>
            <w:vMerge/>
            <w:vAlign w:val="center"/>
          </w:tcPr>
          <w:p w14:paraId="18B73DD6" w14:textId="77777777" w:rsidR="00A06460" w:rsidRPr="0031699D" w:rsidRDefault="00A06460" w:rsidP="00C179A0">
            <w:pPr>
              <w:spacing w:before="113"/>
              <w:contextualSpacing/>
              <w:jc w:val="center"/>
              <w:rPr>
                <w:rFonts w:ascii="Palatino Linotype" w:hAnsi="Palatino Linotype"/>
                <w:sz w:val="18"/>
                <w:szCs w:val="18"/>
              </w:rPr>
            </w:pPr>
          </w:p>
        </w:tc>
        <w:tc>
          <w:tcPr>
            <w:tcW w:w="1276" w:type="dxa"/>
            <w:vAlign w:val="center"/>
          </w:tcPr>
          <w:p w14:paraId="48CC01B3" w14:textId="77777777" w:rsidR="00A06460" w:rsidRPr="0031699D" w:rsidRDefault="00A06460" w:rsidP="00C179A0">
            <w:pPr>
              <w:spacing w:before="113"/>
              <w:contextualSpacing/>
              <w:jc w:val="center"/>
              <w:rPr>
                <w:rFonts w:ascii="Palatino Linotype" w:hAnsi="Palatino Linotype"/>
                <w:sz w:val="18"/>
                <w:szCs w:val="18"/>
              </w:rPr>
            </w:pPr>
            <w:r w:rsidRPr="0031699D">
              <w:rPr>
                <w:rFonts w:ascii="Palatino Linotype" w:hAnsi="Palatino Linotype"/>
                <w:sz w:val="18"/>
                <w:szCs w:val="18"/>
              </w:rPr>
              <w:t>SC2</w:t>
            </w:r>
          </w:p>
        </w:tc>
        <w:tc>
          <w:tcPr>
            <w:tcW w:w="5386" w:type="dxa"/>
            <w:vAlign w:val="center"/>
          </w:tcPr>
          <w:p w14:paraId="556A0A64" w14:textId="77777777" w:rsidR="00A06460" w:rsidRPr="0031699D" w:rsidRDefault="00A06460" w:rsidP="00C179A0">
            <w:pPr>
              <w:spacing w:before="113"/>
              <w:contextualSpacing/>
              <w:rPr>
                <w:rFonts w:ascii="Palatino Linotype" w:hAnsi="Palatino Linotype"/>
                <w:sz w:val="18"/>
                <w:szCs w:val="18"/>
              </w:rPr>
            </w:pPr>
            <w:r w:rsidRPr="0031699D">
              <w:rPr>
                <w:rFonts w:ascii="Palatino Linotype" w:hAnsi="Palatino Linotype"/>
                <w:sz w:val="18"/>
                <w:szCs w:val="18"/>
              </w:rPr>
              <w:t>FinTech has clear loan procedures</w:t>
            </w:r>
          </w:p>
        </w:tc>
      </w:tr>
      <w:tr w:rsidR="00A06460" w:rsidRPr="00A06460" w14:paraId="5D75F406" w14:textId="77777777" w:rsidTr="008E2393">
        <w:trPr>
          <w:jc w:val="center"/>
        </w:trPr>
        <w:tc>
          <w:tcPr>
            <w:tcW w:w="1980" w:type="dxa"/>
            <w:vMerge/>
            <w:vAlign w:val="center"/>
          </w:tcPr>
          <w:p w14:paraId="65EE1769" w14:textId="77777777" w:rsidR="00A06460" w:rsidRPr="0031699D" w:rsidRDefault="00A06460" w:rsidP="00C179A0">
            <w:pPr>
              <w:spacing w:before="113"/>
              <w:contextualSpacing/>
              <w:jc w:val="center"/>
              <w:rPr>
                <w:rFonts w:ascii="Palatino Linotype" w:hAnsi="Palatino Linotype"/>
                <w:sz w:val="18"/>
                <w:szCs w:val="18"/>
              </w:rPr>
            </w:pPr>
          </w:p>
        </w:tc>
        <w:tc>
          <w:tcPr>
            <w:tcW w:w="1276" w:type="dxa"/>
            <w:vAlign w:val="center"/>
          </w:tcPr>
          <w:p w14:paraId="7A050E5A" w14:textId="77777777" w:rsidR="00A06460" w:rsidRPr="0031699D" w:rsidRDefault="00A06460" w:rsidP="00C179A0">
            <w:pPr>
              <w:spacing w:before="113"/>
              <w:contextualSpacing/>
              <w:jc w:val="center"/>
              <w:rPr>
                <w:rFonts w:ascii="Palatino Linotype" w:hAnsi="Palatino Linotype"/>
                <w:sz w:val="18"/>
                <w:szCs w:val="18"/>
              </w:rPr>
            </w:pPr>
            <w:r w:rsidRPr="0031699D">
              <w:rPr>
                <w:rFonts w:ascii="Palatino Linotype" w:hAnsi="Palatino Linotype"/>
                <w:sz w:val="18"/>
                <w:szCs w:val="18"/>
              </w:rPr>
              <w:t>SC3</w:t>
            </w:r>
          </w:p>
        </w:tc>
        <w:tc>
          <w:tcPr>
            <w:tcW w:w="5386" w:type="dxa"/>
            <w:vAlign w:val="center"/>
          </w:tcPr>
          <w:p w14:paraId="2F049286" w14:textId="77777777" w:rsidR="00A06460" w:rsidRPr="0031699D" w:rsidRDefault="00A06460" w:rsidP="00C179A0">
            <w:pPr>
              <w:spacing w:before="113"/>
              <w:contextualSpacing/>
              <w:rPr>
                <w:rFonts w:ascii="Palatino Linotype" w:hAnsi="Palatino Linotype"/>
                <w:sz w:val="18"/>
                <w:szCs w:val="18"/>
              </w:rPr>
            </w:pPr>
            <w:r w:rsidRPr="0031699D">
              <w:rPr>
                <w:rFonts w:ascii="Palatino Linotype" w:hAnsi="Palatino Linotype"/>
                <w:sz w:val="18"/>
                <w:szCs w:val="18"/>
              </w:rPr>
              <w:t>FinTech has loan procedures that comply with legal regulations</w:t>
            </w:r>
          </w:p>
        </w:tc>
      </w:tr>
      <w:tr w:rsidR="00A06460" w:rsidRPr="00A06460" w14:paraId="220F3C24" w14:textId="77777777" w:rsidTr="008E2393">
        <w:trPr>
          <w:jc w:val="center"/>
        </w:trPr>
        <w:tc>
          <w:tcPr>
            <w:tcW w:w="1980" w:type="dxa"/>
            <w:vMerge/>
            <w:vAlign w:val="center"/>
          </w:tcPr>
          <w:p w14:paraId="111F5FC0" w14:textId="77777777" w:rsidR="00A06460" w:rsidRPr="0031699D" w:rsidRDefault="00A06460" w:rsidP="00C179A0">
            <w:pPr>
              <w:spacing w:before="113"/>
              <w:contextualSpacing/>
              <w:jc w:val="center"/>
              <w:rPr>
                <w:rFonts w:ascii="Palatino Linotype" w:hAnsi="Palatino Linotype"/>
                <w:sz w:val="18"/>
                <w:szCs w:val="18"/>
              </w:rPr>
            </w:pPr>
          </w:p>
        </w:tc>
        <w:tc>
          <w:tcPr>
            <w:tcW w:w="1276" w:type="dxa"/>
            <w:vAlign w:val="center"/>
          </w:tcPr>
          <w:p w14:paraId="7BA90CDB" w14:textId="77777777" w:rsidR="00A06460" w:rsidRPr="0031699D" w:rsidRDefault="00A06460" w:rsidP="00C179A0">
            <w:pPr>
              <w:spacing w:before="113"/>
              <w:contextualSpacing/>
              <w:jc w:val="center"/>
              <w:rPr>
                <w:rFonts w:ascii="Palatino Linotype" w:hAnsi="Palatino Linotype"/>
                <w:sz w:val="18"/>
                <w:szCs w:val="18"/>
              </w:rPr>
            </w:pPr>
            <w:r w:rsidRPr="0031699D">
              <w:rPr>
                <w:rFonts w:ascii="Palatino Linotype" w:hAnsi="Palatino Linotype"/>
                <w:sz w:val="18"/>
                <w:szCs w:val="18"/>
              </w:rPr>
              <w:t>SC4</w:t>
            </w:r>
          </w:p>
        </w:tc>
        <w:tc>
          <w:tcPr>
            <w:tcW w:w="5386" w:type="dxa"/>
            <w:vAlign w:val="center"/>
          </w:tcPr>
          <w:p w14:paraId="1F5F3209" w14:textId="77777777" w:rsidR="00A06460" w:rsidRPr="0031699D" w:rsidRDefault="00A06460" w:rsidP="00C179A0">
            <w:pPr>
              <w:spacing w:before="113"/>
              <w:contextualSpacing/>
              <w:rPr>
                <w:rFonts w:ascii="Palatino Linotype" w:hAnsi="Palatino Linotype"/>
                <w:sz w:val="18"/>
                <w:szCs w:val="18"/>
              </w:rPr>
            </w:pPr>
            <w:r w:rsidRPr="0031699D">
              <w:rPr>
                <w:rFonts w:ascii="Palatino Linotype" w:hAnsi="Palatino Linotype"/>
                <w:sz w:val="18"/>
                <w:szCs w:val="18"/>
              </w:rPr>
              <w:t>I feel safe making a loan at FinTech</w:t>
            </w:r>
          </w:p>
        </w:tc>
      </w:tr>
      <w:tr w:rsidR="00A06460" w:rsidRPr="00A06460" w14:paraId="0A636C34" w14:textId="77777777" w:rsidTr="008E2393">
        <w:trPr>
          <w:jc w:val="center"/>
        </w:trPr>
        <w:tc>
          <w:tcPr>
            <w:tcW w:w="1980" w:type="dxa"/>
            <w:vMerge w:val="restart"/>
            <w:vAlign w:val="center"/>
          </w:tcPr>
          <w:p w14:paraId="3D8305BF" w14:textId="77777777" w:rsidR="00A06460" w:rsidRPr="0031699D" w:rsidRDefault="00A06460" w:rsidP="00C179A0">
            <w:pPr>
              <w:spacing w:before="113"/>
              <w:contextualSpacing/>
              <w:jc w:val="center"/>
              <w:rPr>
                <w:rFonts w:ascii="Palatino Linotype" w:hAnsi="Palatino Linotype"/>
                <w:sz w:val="18"/>
                <w:szCs w:val="18"/>
              </w:rPr>
            </w:pPr>
            <w:r w:rsidRPr="0031699D">
              <w:rPr>
                <w:rFonts w:ascii="Palatino Linotype" w:hAnsi="Palatino Linotype"/>
                <w:sz w:val="18"/>
                <w:szCs w:val="18"/>
              </w:rPr>
              <w:t>Trust in Online Lending Platform (TL)</w:t>
            </w:r>
          </w:p>
        </w:tc>
        <w:tc>
          <w:tcPr>
            <w:tcW w:w="1276" w:type="dxa"/>
            <w:vAlign w:val="center"/>
          </w:tcPr>
          <w:p w14:paraId="668053F7" w14:textId="77777777" w:rsidR="00A06460" w:rsidRPr="0031699D" w:rsidRDefault="00A06460" w:rsidP="00C179A0">
            <w:pPr>
              <w:spacing w:before="113"/>
              <w:contextualSpacing/>
              <w:jc w:val="center"/>
              <w:rPr>
                <w:rFonts w:ascii="Palatino Linotype" w:hAnsi="Palatino Linotype"/>
                <w:sz w:val="18"/>
                <w:szCs w:val="18"/>
              </w:rPr>
            </w:pPr>
            <w:r w:rsidRPr="0031699D">
              <w:rPr>
                <w:rFonts w:ascii="Palatino Linotype" w:hAnsi="Palatino Linotype"/>
                <w:sz w:val="18"/>
                <w:szCs w:val="18"/>
              </w:rPr>
              <w:t>TL1</w:t>
            </w:r>
          </w:p>
        </w:tc>
        <w:tc>
          <w:tcPr>
            <w:tcW w:w="5386" w:type="dxa"/>
            <w:vAlign w:val="center"/>
          </w:tcPr>
          <w:p w14:paraId="642213EE" w14:textId="77777777" w:rsidR="00A06460" w:rsidRPr="0031699D" w:rsidRDefault="00A06460" w:rsidP="00C179A0">
            <w:pPr>
              <w:spacing w:before="113"/>
              <w:contextualSpacing/>
              <w:rPr>
                <w:rFonts w:ascii="Palatino Linotype" w:hAnsi="Palatino Linotype"/>
                <w:sz w:val="18"/>
                <w:szCs w:val="18"/>
              </w:rPr>
            </w:pPr>
            <w:r w:rsidRPr="0031699D">
              <w:rPr>
                <w:rFonts w:ascii="Palatino Linotype" w:hAnsi="Palatino Linotype"/>
                <w:sz w:val="18"/>
                <w:szCs w:val="18"/>
              </w:rPr>
              <w:t>I trust Fintech service providers to keep their promises</w:t>
            </w:r>
          </w:p>
        </w:tc>
      </w:tr>
      <w:tr w:rsidR="00A06460" w:rsidRPr="00A06460" w14:paraId="3354FBFD" w14:textId="77777777" w:rsidTr="008E2393">
        <w:trPr>
          <w:jc w:val="center"/>
        </w:trPr>
        <w:tc>
          <w:tcPr>
            <w:tcW w:w="1980" w:type="dxa"/>
            <w:vMerge/>
            <w:vAlign w:val="center"/>
          </w:tcPr>
          <w:p w14:paraId="233AB918" w14:textId="77777777" w:rsidR="00A06460" w:rsidRPr="0031699D" w:rsidRDefault="00A06460" w:rsidP="00C179A0">
            <w:pPr>
              <w:spacing w:before="113"/>
              <w:contextualSpacing/>
              <w:jc w:val="center"/>
              <w:rPr>
                <w:rFonts w:ascii="Palatino Linotype" w:hAnsi="Palatino Linotype"/>
                <w:sz w:val="18"/>
                <w:szCs w:val="18"/>
              </w:rPr>
            </w:pPr>
          </w:p>
        </w:tc>
        <w:tc>
          <w:tcPr>
            <w:tcW w:w="1276" w:type="dxa"/>
            <w:vAlign w:val="center"/>
          </w:tcPr>
          <w:p w14:paraId="1EDB9C05" w14:textId="77777777" w:rsidR="00A06460" w:rsidRPr="0031699D" w:rsidRDefault="00A06460" w:rsidP="00C179A0">
            <w:pPr>
              <w:spacing w:before="113"/>
              <w:contextualSpacing/>
              <w:jc w:val="center"/>
              <w:rPr>
                <w:rFonts w:ascii="Palatino Linotype" w:hAnsi="Palatino Linotype"/>
                <w:sz w:val="18"/>
                <w:szCs w:val="18"/>
              </w:rPr>
            </w:pPr>
            <w:r w:rsidRPr="0031699D">
              <w:rPr>
                <w:rFonts w:ascii="Palatino Linotype" w:hAnsi="Palatino Linotype"/>
                <w:sz w:val="18"/>
                <w:szCs w:val="18"/>
              </w:rPr>
              <w:t>TL2</w:t>
            </w:r>
          </w:p>
        </w:tc>
        <w:tc>
          <w:tcPr>
            <w:tcW w:w="5386" w:type="dxa"/>
            <w:vAlign w:val="center"/>
          </w:tcPr>
          <w:p w14:paraId="69FD3E89" w14:textId="77777777" w:rsidR="00A06460" w:rsidRPr="0031699D" w:rsidRDefault="00A06460" w:rsidP="00C179A0">
            <w:pPr>
              <w:spacing w:before="113"/>
              <w:contextualSpacing/>
              <w:rPr>
                <w:rFonts w:ascii="Palatino Linotype" w:hAnsi="Palatino Linotype"/>
                <w:sz w:val="18"/>
                <w:szCs w:val="18"/>
              </w:rPr>
            </w:pPr>
            <w:r w:rsidRPr="0031699D">
              <w:rPr>
                <w:rFonts w:ascii="Palatino Linotype" w:hAnsi="Palatino Linotype"/>
                <w:sz w:val="18"/>
                <w:szCs w:val="18"/>
              </w:rPr>
              <w:t>I trust FinTech service providers to be competent and effective at providing financial services</w:t>
            </w:r>
          </w:p>
        </w:tc>
      </w:tr>
      <w:tr w:rsidR="00A06460" w:rsidRPr="00A06460" w14:paraId="1E39FD6D" w14:textId="77777777" w:rsidTr="003C43A3">
        <w:trPr>
          <w:jc w:val="center"/>
        </w:trPr>
        <w:tc>
          <w:tcPr>
            <w:tcW w:w="1980" w:type="dxa"/>
            <w:vMerge/>
            <w:vAlign w:val="center"/>
          </w:tcPr>
          <w:p w14:paraId="5E53FA2A" w14:textId="77777777" w:rsidR="00A06460" w:rsidRPr="0031699D" w:rsidRDefault="00A06460" w:rsidP="00C179A0">
            <w:pPr>
              <w:spacing w:before="113"/>
              <w:contextualSpacing/>
              <w:jc w:val="center"/>
              <w:rPr>
                <w:rFonts w:ascii="Palatino Linotype" w:hAnsi="Palatino Linotype"/>
                <w:sz w:val="18"/>
                <w:szCs w:val="18"/>
              </w:rPr>
            </w:pPr>
          </w:p>
        </w:tc>
        <w:tc>
          <w:tcPr>
            <w:tcW w:w="1276" w:type="dxa"/>
            <w:vAlign w:val="center"/>
          </w:tcPr>
          <w:p w14:paraId="56B1149E" w14:textId="77777777" w:rsidR="00A06460" w:rsidRPr="0031699D" w:rsidRDefault="00A06460" w:rsidP="00C179A0">
            <w:pPr>
              <w:spacing w:before="113"/>
              <w:contextualSpacing/>
              <w:jc w:val="center"/>
              <w:rPr>
                <w:rFonts w:ascii="Palatino Linotype" w:hAnsi="Palatino Linotype"/>
                <w:sz w:val="18"/>
                <w:szCs w:val="18"/>
              </w:rPr>
            </w:pPr>
            <w:r w:rsidRPr="0031699D">
              <w:rPr>
                <w:rFonts w:ascii="Palatino Linotype" w:hAnsi="Palatino Linotype"/>
                <w:sz w:val="18"/>
                <w:szCs w:val="18"/>
              </w:rPr>
              <w:t>TL3</w:t>
            </w:r>
          </w:p>
        </w:tc>
        <w:tc>
          <w:tcPr>
            <w:tcW w:w="5386" w:type="dxa"/>
            <w:vAlign w:val="center"/>
          </w:tcPr>
          <w:p w14:paraId="6270D8CC" w14:textId="77777777" w:rsidR="00A06460" w:rsidRPr="0031699D" w:rsidRDefault="00A06460" w:rsidP="00C179A0">
            <w:pPr>
              <w:spacing w:before="113"/>
              <w:contextualSpacing/>
              <w:rPr>
                <w:rFonts w:ascii="Palatino Linotype" w:hAnsi="Palatino Linotype"/>
                <w:sz w:val="18"/>
                <w:szCs w:val="18"/>
              </w:rPr>
            </w:pPr>
            <w:r w:rsidRPr="0031699D">
              <w:rPr>
                <w:rFonts w:ascii="Palatino Linotype" w:hAnsi="Palatino Linotype"/>
                <w:sz w:val="18"/>
                <w:szCs w:val="18"/>
              </w:rPr>
              <w:t>I feel that without being regularly monitored, the loan amount is still safe</w:t>
            </w:r>
          </w:p>
        </w:tc>
      </w:tr>
      <w:tr w:rsidR="00A06460" w:rsidRPr="00A06460" w14:paraId="25CC368C" w14:textId="77777777" w:rsidTr="008E2393">
        <w:trPr>
          <w:jc w:val="center"/>
        </w:trPr>
        <w:tc>
          <w:tcPr>
            <w:tcW w:w="1980" w:type="dxa"/>
            <w:vMerge/>
            <w:vAlign w:val="center"/>
          </w:tcPr>
          <w:p w14:paraId="31BC06FB" w14:textId="77777777" w:rsidR="00A06460" w:rsidRPr="0031699D" w:rsidRDefault="00A06460" w:rsidP="00C179A0">
            <w:pPr>
              <w:spacing w:before="113"/>
              <w:contextualSpacing/>
              <w:jc w:val="center"/>
              <w:rPr>
                <w:rFonts w:ascii="Palatino Linotype" w:hAnsi="Palatino Linotype"/>
                <w:sz w:val="18"/>
                <w:szCs w:val="18"/>
              </w:rPr>
            </w:pPr>
          </w:p>
        </w:tc>
        <w:tc>
          <w:tcPr>
            <w:tcW w:w="1276" w:type="dxa"/>
            <w:vAlign w:val="center"/>
          </w:tcPr>
          <w:p w14:paraId="1564907F" w14:textId="77777777" w:rsidR="00A06460" w:rsidRPr="0031699D" w:rsidRDefault="00A06460" w:rsidP="00C179A0">
            <w:pPr>
              <w:spacing w:before="113"/>
              <w:contextualSpacing/>
              <w:jc w:val="center"/>
              <w:rPr>
                <w:rFonts w:ascii="Palatino Linotype" w:hAnsi="Palatino Linotype"/>
                <w:sz w:val="18"/>
                <w:szCs w:val="18"/>
              </w:rPr>
            </w:pPr>
            <w:r w:rsidRPr="0031699D">
              <w:rPr>
                <w:rFonts w:ascii="Palatino Linotype" w:hAnsi="Palatino Linotype"/>
                <w:sz w:val="18"/>
                <w:szCs w:val="18"/>
              </w:rPr>
              <w:t>TL4</w:t>
            </w:r>
          </w:p>
        </w:tc>
        <w:tc>
          <w:tcPr>
            <w:tcW w:w="5386" w:type="dxa"/>
            <w:vAlign w:val="center"/>
          </w:tcPr>
          <w:p w14:paraId="4E080C49" w14:textId="77777777" w:rsidR="00A06460" w:rsidRPr="0031699D" w:rsidRDefault="00A06460" w:rsidP="00C179A0">
            <w:pPr>
              <w:spacing w:before="113"/>
              <w:contextualSpacing/>
              <w:rPr>
                <w:rFonts w:ascii="Palatino Linotype" w:hAnsi="Palatino Linotype"/>
                <w:sz w:val="18"/>
                <w:szCs w:val="18"/>
              </w:rPr>
            </w:pPr>
            <w:r w:rsidRPr="0031699D">
              <w:rPr>
                <w:rFonts w:ascii="Palatino Linotype" w:hAnsi="Palatino Linotype"/>
                <w:sz w:val="18"/>
                <w:szCs w:val="18"/>
              </w:rPr>
              <w:t>I trust the benefits provided by FinTech</w:t>
            </w:r>
          </w:p>
        </w:tc>
      </w:tr>
      <w:tr w:rsidR="00A06460" w:rsidRPr="00A06460" w14:paraId="50A45B82" w14:textId="77777777" w:rsidTr="008E2393">
        <w:trPr>
          <w:jc w:val="center"/>
        </w:trPr>
        <w:tc>
          <w:tcPr>
            <w:tcW w:w="1980" w:type="dxa"/>
            <w:vMerge w:val="restart"/>
            <w:vAlign w:val="center"/>
          </w:tcPr>
          <w:p w14:paraId="26554D29" w14:textId="77777777" w:rsidR="00A06460" w:rsidRPr="0031699D" w:rsidRDefault="00A06460" w:rsidP="00C179A0">
            <w:pPr>
              <w:spacing w:before="113"/>
              <w:contextualSpacing/>
              <w:jc w:val="center"/>
              <w:rPr>
                <w:rFonts w:ascii="Palatino Linotype" w:hAnsi="Palatino Linotype"/>
                <w:sz w:val="18"/>
                <w:szCs w:val="18"/>
              </w:rPr>
            </w:pPr>
            <w:r w:rsidRPr="0031699D">
              <w:rPr>
                <w:rFonts w:ascii="Palatino Linotype" w:hAnsi="Palatino Linotype"/>
                <w:sz w:val="18"/>
                <w:szCs w:val="18"/>
              </w:rPr>
              <w:t>Familiarity (FM)</w:t>
            </w:r>
          </w:p>
        </w:tc>
        <w:tc>
          <w:tcPr>
            <w:tcW w:w="1276" w:type="dxa"/>
            <w:vAlign w:val="center"/>
          </w:tcPr>
          <w:p w14:paraId="317DEF7E" w14:textId="77777777" w:rsidR="00A06460" w:rsidRPr="0031699D" w:rsidRDefault="00A06460" w:rsidP="00C179A0">
            <w:pPr>
              <w:spacing w:before="113"/>
              <w:contextualSpacing/>
              <w:jc w:val="center"/>
              <w:rPr>
                <w:rFonts w:ascii="Palatino Linotype" w:hAnsi="Palatino Linotype"/>
                <w:sz w:val="18"/>
                <w:szCs w:val="18"/>
              </w:rPr>
            </w:pPr>
            <w:r w:rsidRPr="0031699D">
              <w:rPr>
                <w:rFonts w:ascii="Palatino Linotype" w:hAnsi="Palatino Linotype"/>
                <w:sz w:val="18"/>
                <w:szCs w:val="18"/>
              </w:rPr>
              <w:t>FM1</w:t>
            </w:r>
          </w:p>
        </w:tc>
        <w:tc>
          <w:tcPr>
            <w:tcW w:w="5386" w:type="dxa"/>
            <w:vAlign w:val="center"/>
          </w:tcPr>
          <w:p w14:paraId="47598732" w14:textId="77777777" w:rsidR="00A06460" w:rsidRPr="0031699D" w:rsidRDefault="00A06460" w:rsidP="00C179A0">
            <w:pPr>
              <w:spacing w:before="113"/>
              <w:contextualSpacing/>
              <w:rPr>
                <w:rFonts w:ascii="Palatino Linotype" w:hAnsi="Palatino Linotype"/>
                <w:sz w:val="18"/>
                <w:szCs w:val="18"/>
              </w:rPr>
            </w:pPr>
            <w:r w:rsidRPr="0031699D">
              <w:rPr>
                <w:rFonts w:ascii="Palatino Linotype" w:hAnsi="Palatino Linotype"/>
                <w:sz w:val="18"/>
                <w:szCs w:val="18"/>
              </w:rPr>
              <w:t>I am familiar with the procedures for loans at FinTech</w:t>
            </w:r>
          </w:p>
        </w:tc>
      </w:tr>
      <w:tr w:rsidR="00A06460" w:rsidRPr="00A06460" w14:paraId="7C2A689C" w14:textId="77777777" w:rsidTr="008E2393">
        <w:trPr>
          <w:jc w:val="center"/>
        </w:trPr>
        <w:tc>
          <w:tcPr>
            <w:tcW w:w="1980" w:type="dxa"/>
            <w:vMerge/>
            <w:vAlign w:val="center"/>
          </w:tcPr>
          <w:p w14:paraId="4C577BF8" w14:textId="77777777" w:rsidR="00A06460" w:rsidRPr="0031699D" w:rsidRDefault="00A06460" w:rsidP="00C179A0">
            <w:pPr>
              <w:spacing w:before="113"/>
              <w:contextualSpacing/>
              <w:jc w:val="center"/>
              <w:rPr>
                <w:rFonts w:ascii="Palatino Linotype" w:hAnsi="Palatino Linotype"/>
                <w:sz w:val="18"/>
                <w:szCs w:val="18"/>
              </w:rPr>
            </w:pPr>
          </w:p>
        </w:tc>
        <w:tc>
          <w:tcPr>
            <w:tcW w:w="1276" w:type="dxa"/>
            <w:vAlign w:val="center"/>
          </w:tcPr>
          <w:p w14:paraId="533BA898" w14:textId="77777777" w:rsidR="00A06460" w:rsidRPr="0031699D" w:rsidRDefault="00A06460" w:rsidP="00C179A0">
            <w:pPr>
              <w:spacing w:before="113"/>
              <w:contextualSpacing/>
              <w:jc w:val="center"/>
              <w:rPr>
                <w:rFonts w:ascii="Palatino Linotype" w:hAnsi="Palatino Linotype"/>
                <w:sz w:val="18"/>
                <w:szCs w:val="18"/>
              </w:rPr>
            </w:pPr>
            <w:r w:rsidRPr="0031699D">
              <w:rPr>
                <w:rFonts w:ascii="Palatino Linotype" w:hAnsi="Palatino Linotype"/>
                <w:sz w:val="18"/>
                <w:szCs w:val="18"/>
              </w:rPr>
              <w:t>FM2</w:t>
            </w:r>
          </w:p>
        </w:tc>
        <w:tc>
          <w:tcPr>
            <w:tcW w:w="5386" w:type="dxa"/>
            <w:vAlign w:val="center"/>
          </w:tcPr>
          <w:p w14:paraId="32BF9E58" w14:textId="77777777" w:rsidR="00A06460" w:rsidRPr="0031699D" w:rsidRDefault="00A06460" w:rsidP="00C179A0">
            <w:pPr>
              <w:spacing w:before="113"/>
              <w:contextualSpacing/>
              <w:rPr>
                <w:rFonts w:ascii="Palatino Linotype" w:hAnsi="Palatino Linotype"/>
                <w:sz w:val="18"/>
                <w:szCs w:val="18"/>
              </w:rPr>
            </w:pPr>
            <w:r w:rsidRPr="0031699D">
              <w:rPr>
                <w:rFonts w:ascii="Palatino Linotype" w:hAnsi="Palatino Linotype"/>
                <w:sz w:val="18"/>
                <w:szCs w:val="18"/>
              </w:rPr>
              <w:t>I feel used to the FinTech display (interface)</w:t>
            </w:r>
          </w:p>
        </w:tc>
      </w:tr>
      <w:tr w:rsidR="00A06460" w:rsidRPr="00A06460" w14:paraId="3B92070E" w14:textId="77777777" w:rsidTr="008E2393">
        <w:trPr>
          <w:jc w:val="center"/>
        </w:trPr>
        <w:tc>
          <w:tcPr>
            <w:tcW w:w="1980" w:type="dxa"/>
            <w:vMerge/>
            <w:vAlign w:val="center"/>
          </w:tcPr>
          <w:p w14:paraId="01FC364A" w14:textId="77777777" w:rsidR="00A06460" w:rsidRPr="0031699D" w:rsidRDefault="00A06460" w:rsidP="00C179A0">
            <w:pPr>
              <w:spacing w:before="113"/>
              <w:contextualSpacing/>
              <w:jc w:val="center"/>
              <w:rPr>
                <w:rFonts w:ascii="Palatino Linotype" w:hAnsi="Palatino Linotype"/>
                <w:sz w:val="18"/>
                <w:szCs w:val="18"/>
              </w:rPr>
            </w:pPr>
          </w:p>
        </w:tc>
        <w:tc>
          <w:tcPr>
            <w:tcW w:w="1276" w:type="dxa"/>
            <w:vAlign w:val="center"/>
          </w:tcPr>
          <w:p w14:paraId="43BB740C" w14:textId="77777777" w:rsidR="00A06460" w:rsidRPr="0031699D" w:rsidRDefault="00A06460" w:rsidP="00C179A0">
            <w:pPr>
              <w:spacing w:before="113"/>
              <w:contextualSpacing/>
              <w:jc w:val="center"/>
              <w:rPr>
                <w:rFonts w:ascii="Palatino Linotype" w:hAnsi="Palatino Linotype"/>
                <w:sz w:val="18"/>
                <w:szCs w:val="18"/>
              </w:rPr>
            </w:pPr>
            <w:r w:rsidRPr="0031699D">
              <w:rPr>
                <w:rFonts w:ascii="Palatino Linotype" w:hAnsi="Palatino Linotype"/>
                <w:sz w:val="18"/>
                <w:szCs w:val="18"/>
              </w:rPr>
              <w:t>FM3</w:t>
            </w:r>
          </w:p>
        </w:tc>
        <w:tc>
          <w:tcPr>
            <w:tcW w:w="5386" w:type="dxa"/>
            <w:vAlign w:val="center"/>
          </w:tcPr>
          <w:p w14:paraId="095FCEED" w14:textId="77777777" w:rsidR="00A06460" w:rsidRPr="0031699D" w:rsidRDefault="00A06460" w:rsidP="00C179A0">
            <w:pPr>
              <w:spacing w:before="113"/>
              <w:contextualSpacing/>
              <w:rPr>
                <w:rFonts w:ascii="Palatino Linotype" w:hAnsi="Palatino Linotype"/>
                <w:sz w:val="18"/>
                <w:szCs w:val="18"/>
              </w:rPr>
            </w:pPr>
            <w:r w:rsidRPr="0031699D">
              <w:rPr>
                <w:rFonts w:ascii="Palatino Linotype" w:hAnsi="Palatino Linotype"/>
                <w:sz w:val="18"/>
                <w:szCs w:val="18"/>
              </w:rPr>
              <w:t>FinTech service providers have a clear reputation</w:t>
            </w:r>
          </w:p>
        </w:tc>
      </w:tr>
      <w:tr w:rsidR="00A06460" w:rsidRPr="00A06460" w14:paraId="0944176D" w14:textId="77777777" w:rsidTr="003C43A3">
        <w:trPr>
          <w:jc w:val="center"/>
        </w:trPr>
        <w:tc>
          <w:tcPr>
            <w:tcW w:w="1980" w:type="dxa"/>
            <w:vMerge/>
            <w:vAlign w:val="center"/>
          </w:tcPr>
          <w:p w14:paraId="6C257D53" w14:textId="77777777" w:rsidR="00A06460" w:rsidRPr="0031699D" w:rsidRDefault="00A06460" w:rsidP="00C179A0">
            <w:pPr>
              <w:spacing w:before="113"/>
              <w:contextualSpacing/>
              <w:jc w:val="center"/>
              <w:rPr>
                <w:rFonts w:ascii="Palatino Linotype" w:hAnsi="Palatino Linotype"/>
                <w:sz w:val="18"/>
                <w:szCs w:val="18"/>
              </w:rPr>
            </w:pPr>
          </w:p>
        </w:tc>
        <w:tc>
          <w:tcPr>
            <w:tcW w:w="1276" w:type="dxa"/>
            <w:vAlign w:val="center"/>
          </w:tcPr>
          <w:p w14:paraId="7545BFCD" w14:textId="77777777" w:rsidR="00A06460" w:rsidRPr="0031699D" w:rsidRDefault="00A06460" w:rsidP="00C179A0">
            <w:pPr>
              <w:spacing w:before="113"/>
              <w:contextualSpacing/>
              <w:jc w:val="center"/>
              <w:rPr>
                <w:rFonts w:ascii="Palatino Linotype" w:hAnsi="Palatino Linotype"/>
                <w:sz w:val="18"/>
                <w:szCs w:val="18"/>
              </w:rPr>
            </w:pPr>
            <w:r w:rsidRPr="0031699D">
              <w:rPr>
                <w:rFonts w:ascii="Palatino Linotype" w:hAnsi="Palatino Linotype"/>
                <w:sz w:val="18"/>
                <w:szCs w:val="18"/>
              </w:rPr>
              <w:t>FM4</w:t>
            </w:r>
          </w:p>
        </w:tc>
        <w:tc>
          <w:tcPr>
            <w:tcW w:w="5386" w:type="dxa"/>
            <w:vAlign w:val="center"/>
          </w:tcPr>
          <w:p w14:paraId="0FDC15FC" w14:textId="77777777" w:rsidR="00A06460" w:rsidRPr="0031699D" w:rsidRDefault="00A06460" w:rsidP="00C179A0">
            <w:pPr>
              <w:spacing w:before="113"/>
              <w:contextualSpacing/>
              <w:rPr>
                <w:rFonts w:ascii="Palatino Linotype" w:hAnsi="Palatino Linotype"/>
                <w:sz w:val="18"/>
                <w:szCs w:val="18"/>
              </w:rPr>
            </w:pPr>
            <w:r w:rsidRPr="0031699D">
              <w:rPr>
                <w:rFonts w:ascii="Palatino Linotype" w:hAnsi="Palatino Linotype"/>
                <w:sz w:val="18"/>
                <w:szCs w:val="18"/>
              </w:rPr>
              <w:t>I am used to making loan transactions with FinTech</w:t>
            </w:r>
          </w:p>
        </w:tc>
      </w:tr>
      <w:tr w:rsidR="00A06460" w:rsidRPr="00A06460" w14:paraId="754F9AA4" w14:textId="77777777" w:rsidTr="003C43A3">
        <w:trPr>
          <w:jc w:val="center"/>
        </w:trPr>
        <w:tc>
          <w:tcPr>
            <w:tcW w:w="1980" w:type="dxa"/>
            <w:vMerge w:val="restart"/>
            <w:tcBorders>
              <w:bottom w:val="single" w:sz="4" w:space="0" w:color="auto"/>
            </w:tcBorders>
            <w:vAlign w:val="center"/>
          </w:tcPr>
          <w:p w14:paraId="144370E4" w14:textId="77777777" w:rsidR="00A06460" w:rsidRPr="0031699D" w:rsidRDefault="00A06460" w:rsidP="00C179A0">
            <w:pPr>
              <w:spacing w:before="113"/>
              <w:contextualSpacing/>
              <w:jc w:val="center"/>
              <w:rPr>
                <w:rFonts w:ascii="Palatino Linotype" w:hAnsi="Palatino Linotype"/>
                <w:sz w:val="18"/>
                <w:szCs w:val="18"/>
              </w:rPr>
            </w:pPr>
            <w:r w:rsidRPr="0031699D">
              <w:rPr>
                <w:rFonts w:ascii="Palatino Linotype" w:hAnsi="Palatino Linotype"/>
                <w:sz w:val="18"/>
                <w:szCs w:val="18"/>
              </w:rPr>
              <w:t>Intention to Use (IU)</w:t>
            </w:r>
          </w:p>
        </w:tc>
        <w:tc>
          <w:tcPr>
            <w:tcW w:w="1276" w:type="dxa"/>
            <w:vAlign w:val="center"/>
          </w:tcPr>
          <w:p w14:paraId="7A4E8875" w14:textId="77777777" w:rsidR="00A06460" w:rsidRPr="0031699D" w:rsidRDefault="00A06460" w:rsidP="00C179A0">
            <w:pPr>
              <w:spacing w:before="113"/>
              <w:contextualSpacing/>
              <w:jc w:val="center"/>
              <w:rPr>
                <w:rFonts w:ascii="Palatino Linotype" w:hAnsi="Palatino Linotype"/>
                <w:sz w:val="18"/>
                <w:szCs w:val="18"/>
              </w:rPr>
            </w:pPr>
            <w:r w:rsidRPr="0031699D">
              <w:rPr>
                <w:rFonts w:ascii="Palatino Linotype" w:hAnsi="Palatino Linotype"/>
                <w:sz w:val="18"/>
                <w:szCs w:val="18"/>
              </w:rPr>
              <w:t>IU1</w:t>
            </w:r>
          </w:p>
        </w:tc>
        <w:tc>
          <w:tcPr>
            <w:tcW w:w="5386" w:type="dxa"/>
            <w:vAlign w:val="center"/>
          </w:tcPr>
          <w:p w14:paraId="31D5E219" w14:textId="77777777" w:rsidR="00A06460" w:rsidRPr="0031699D" w:rsidRDefault="00A06460" w:rsidP="00C179A0">
            <w:pPr>
              <w:spacing w:before="113"/>
              <w:contextualSpacing/>
              <w:rPr>
                <w:rFonts w:ascii="Palatino Linotype" w:hAnsi="Palatino Linotype"/>
                <w:sz w:val="18"/>
                <w:szCs w:val="18"/>
              </w:rPr>
            </w:pPr>
            <w:r w:rsidRPr="0031699D">
              <w:rPr>
                <w:rFonts w:ascii="Palatino Linotype" w:hAnsi="Palatino Linotype"/>
                <w:sz w:val="18"/>
                <w:szCs w:val="18"/>
              </w:rPr>
              <w:t>I want to use FinTech as a loan platform</w:t>
            </w:r>
          </w:p>
        </w:tc>
      </w:tr>
      <w:tr w:rsidR="00A06460" w:rsidRPr="00A06460" w14:paraId="63DE9598" w14:textId="77777777" w:rsidTr="003C43A3">
        <w:trPr>
          <w:jc w:val="center"/>
        </w:trPr>
        <w:tc>
          <w:tcPr>
            <w:tcW w:w="1980" w:type="dxa"/>
            <w:vMerge/>
            <w:tcBorders>
              <w:bottom w:val="single" w:sz="4" w:space="0" w:color="auto"/>
            </w:tcBorders>
            <w:vAlign w:val="center"/>
          </w:tcPr>
          <w:p w14:paraId="09EC8350" w14:textId="77777777" w:rsidR="00A06460" w:rsidRPr="0031699D" w:rsidRDefault="00A06460" w:rsidP="00C179A0">
            <w:pPr>
              <w:spacing w:before="113"/>
              <w:contextualSpacing/>
              <w:jc w:val="center"/>
              <w:rPr>
                <w:rFonts w:ascii="Palatino Linotype" w:hAnsi="Palatino Linotype"/>
                <w:sz w:val="18"/>
                <w:szCs w:val="18"/>
              </w:rPr>
            </w:pPr>
          </w:p>
        </w:tc>
        <w:tc>
          <w:tcPr>
            <w:tcW w:w="1276" w:type="dxa"/>
            <w:vAlign w:val="center"/>
          </w:tcPr>
          <w:p w14:paraId="51763FBF" w14:textId="77777777" w:rsidR="00A06460" w:rsidRPr="0031699D" w:rsidRDefault="00A06460" w:rsidP="00C179A0">
            <w:pPr>
              <w:spacing w:before="113"/>
              <w:contextualSpacing/>
              <w:jc w:val="center"/>
              <w:rPr>
                <w:rFonts w:ascii="Palatino Linotype" w:hAnsi="Palatino Linotype"/>
                <w:sz w:val="18"/>
                <w:szCs w:val="18"/>
              </w:rPr>
            </w:pPr>
            <w:r w:rsidRPr="0031699D">
              <w:rPr>
                <w:rFonts w:ascii="Palatino Linotype" w:hAnsi="Palatino Linotype"/>
                <w:sz w:val="18"/>
                <w:szCs w:val="18"/>
              </w:rPr>
              <w:t>IU2</w:t>
            </w:r>
          </w:p>
        </w:tc>
        <w:tc>
          <w:tcPr>
            <w:tcW w:w="5386" w:type="dxa"/>
            <w:vAlign w:val="center"/>
          </w:tcPr>
          <w:p w14:paraId="40785841" w14:textId="77777777" w:rsidR="00A06460" w:rsidRPr="0031699D" w:rsidRDefault="00A06460" w:rsidP="00C179A0">
            <w:pPr>
              <w:spacing w:before="113"/>
              <w:contextualSpacing/>
              <w:rPr>
                <w:rFonts w:ascii="Palatino Linotype" w:hAnsi="Palatino Linotype"/>
                <w:sz w:val="18"/>
                <w:szCs w:val="18"/>
              </w:rPr>
            </w:pPr>
            <w:r w:rsidRPr="0031699D">
              <w:rPr>
                <w:rFonts w:ascii="Palatino Linotype" w:hAnsi="Palatino Linotype"/>
                <w:sz w:val="18"/>
                <w:szCs w:val="18"/>
              </w:rPr>
              <w:t>I want to use FinTech continuously</w:t>
            </w:r>
          </w:p>
        </w:tc>
      </w:tr>
      <w:tr w:rsidR="00A06460" w:rsidRPr="00A06460" w14:paraId="5CC6F487" w14:textId="77777777" w:rsidTr="003C43A3">
        <w:trPr>
          <w:jc w:val="center"/>
        </w:trPr>
        <w:tc>
          <w:tcPr>
            <w:tcW w:w="1980" w:type="dxa"/>
            <w:vMerge/>
            <w:tcBorders>
              <w:bottom w:val="single" w:sz="4" w:space="0" w:color="auto"/>
            </w:tcBorders>
            <w:vAlign w:val="center"/>
          </w:tcPr>
          <w:p w14:paraId="6D1DDC35" w14:textId="77777777" w:rsidR="00A06460" w:rsidRPr="0031699D" w:rsidRDefault="00A06460" w:rsidP="00C179A0">
            <w:pPr>
              <w:spacing w:before="113"/>
              <w:contextualSpacing/>
              <w:jc w:val="center"/>
              <w:rPr>
                <w:rFonts w:ascii="Palatino Linotype" w:hAnsi="Palatino Linotype"/>
                <w:sz w:val="18"/>
                <w:szCs w:val="18"/>
              </w:rPr>
            </w:pPr>
          </w:p>
        </w:tc>
        <w:tc>
          <w:tcPr>
            <w:tcW w:w="1276" w:type="dxa"/>
            <w:vAlign w:val="center"/>
          </w:tcPr>
          <w:p w14:paraId="2D95BDFD" w14:textId="77777777" w:rsidR="00A06460" w:rsidRPr="0031699D" w:rsidRDefault="00A06460" w:rsidP="00C179A0">
            <w:pPr>
              <w:spacing w:before="113"/>
              <w:contextualSpacing/>
              <w:jc w:val="center"/>
              <w:rPr>
                <w:rFonts w:ascii="Palatino Linotype" w:hAnsi="Palatino Linotype"/>
                <w:sz w:val="18"/>
                <w:szCs w:val="18"/>
              </w:rPr>
            </w:pPr>
            <w:r w:rsidRPr="0031699D">
              <w:rPr>
                <w:rFonts w:ascii="Palatino Linotype" w:hAnsi="Palatino Linotype"/>
                <w:sz w:val="18"/>
                <w:szCs w:val="18"/>
              </w:rPr>
              <w:t>IU3</w:t>
            </w:r>
          </w:p>
        </w:tc>
        <w:tc>
          <w:tcPr>
            <w:tcW w:w="5386" w:type="dxa"/>
            <w:vAlign w:val="center"/>
          </w:tcPr>
          <w:p w14:paraId="64A65991" w14:textId="77777777" w:rsidR="00A06460" w:rsidRPr="0031699D" w:rsidRDefault="00A06460" w:rsidP="00C179A0">
            <w:pPr>
              <w:spacing w:before="113"/>
              <w:contextualSpacing/>
              <w:rPr>
                <w:rFonts w:ascii="Palatino Linotype" w:hAnsi="Palatino Linotype"/>
                <w:sz w:val="18"/>
                <w:szCs w:val="18"/>
              </w:rPr>
            </w:pPr>
            <w:r w:rsidRPr="0031699D">
              <w:rPr>
                <w:rFonts w:ascii="Palatino Linotype" w:hAnsi="Palatino Linotype"/>
                <w:sz w:val="18"/>
                <w:szCs w:val="18"/>
              </w:rPr>
              <w:t>I would recommend using FinTech</w:t>
            </w:r>
          </w:p>
        </w:tc>
      </w:tr>
      <w:tr w:rsidR="00A06460" w:rsidRPr="00A06460" w14:paraId="0788BAB6" w14:textId="77777777" w:rsidTr="003C43A3">
        <w:trPr>
          <w:jc w:val="center"/>
        </w:trPr>
        <w:tc>
          <w:tcPr>
            <w:tcW w:w="1980" w:type="dxa"/>
            <w:vMerge/>
            <w:tcBorders>
              <w:bottom w:val="single" w:sz="4" w:space="0" w:color="auto"/>
            </w:tcBorders>
            <w:vAlign w:val="center"/>
          </w:tcPr>
          <w:p w14:paraId="579FCB9D" w14:textId="77777777" w:rsidR="00A06460" w:rsidRPr="0031699D" w:rsidRDefault="00A06460" w:rsidP="00C179A0">
            <w:pPr>
              <w:spacing w:before="113"/>
              <w:contextualSpacing/>
              <w:jc w:val="center"/>
              <w:rPr>
                <w:rFonts w:ascii="Palatino Linotype" w:hAnsi="Palatino Linotype"/>
                <w:sz w:val="18"/>
                <w:szCs w:val="18"/>
              </w:rPr>
            </w:pPr>
          </w:p>
        </w:tc>
        <w:tc>
          <w:tcPr>
            <w:tcW w:w="1276" w:type="dxa"/>
            <w:tcBorders>
              <w:bottom w:val="single" w:sz="4" w:space="0" w:color="auto"/>
            </w:tcBorders>
            <w:vAlign w:val="center"/>
          </w:tcPr>
          <w:p w14:paraId="28532772" w14:textId="77777777" w:rsidR="00A06460" w:rsidRPr="0031699D" w:rsidRDefault="00A06460" w:rsidP="00C179A0">
            <w:pPr>
              <w:spacing w:before="113"/>
              <w:contextualSpacing/>
              <w:jc w:val="center"/>
              <w:rPr>
                <w:rFonts w:ascii="Palatino Linotype" w:hAnsi="Palatino Linotype"/>
                <w:sz w:val="18"/>
                <w:szCs w:val="18"/>
              </w:rPr>
            </w:pPr>
            <w:r w:rsidRPr="0031699D">
              <w:rPr>
                <w:rFonts w:ascii="Palatino Linotype" w:hAnsi="Palatino Linotype"/>
                <w:sz w:val="18"/>
                <w:szCs w:val="18"/>
              </w:rPr>
              <w:t>IU4</w:t>
            </w:r>
          </w:p>
        </w:tc>
        <w:tc>
          <w:tcPr>
            <w:tcW w:w="5386" w:type="dxa"/>
            <w:tcBorders>
              <w:bottom w:val="single" w:sz="4" w:space="0" w:color="auto"/>
            </w:tcBorders>
            <w:vAlign w:val="center"/>
          </w:tcPr>
          <w:p w14:paraId="191CF8FD" w14:textId="77777777" w:rsidR="00A06460" w:rsidRPr="0031699D" w:rsidRDefault="00A06460" w:rsidP="00C179A0">
            <w:pPr>
              <w:spacing w:before="113"/>
              <w:contextualSpacing/>
              <w:rPr>
                <w:rFonts w:ascii="Palatino Linotype" w:hAnsi="Palatino Linotype"/>
                <w:sz w:val="18"/>
                <w:szCs w:val="18"/>
              </w:rPr>
            </w:pPr>
            <w:r w:rsidRPr="0031699D">
              <w:rPr>
                <w:rFonts w:ascii="Palatino Linotype" w:hAnsi="Palatino Linotype"/>
                <w:sz w:val="18"/>
                <w:szCs w:val="18"/>
              </w:rPr>
              <w:t>If needed, I will use FinTech instead of bank applications</w:t>
            </w:r>
          </w:p>
        </w:tc>
      </w:tr>
    </w:tbl>
    <w:p w14:paraId="726BF826" w14:textId="1D324C69" w:rsidR="004F5584" w:rsidRDefault="004F5584" w:rsidP="004F5584">
      <w:pPr>
        <w:pStyle w:val="Subsubjudul"/>
        <w:spacing w:line="240" w:lineRule="auto"/>
        <w:ind w:left="567" w:hanging="567"/>
        <w:rPr>
          <w:i w:val="0"/>
          <w:color w:val="000000" w:themeColor="text1"/>
          <w:lang w:val="en-ID"/>
        </w:rPr>
      </w:pPr>
      <w:r w:rsidRPr="004F5584">
        <w:rPr>
          <w:i w:val="0"/>
          <w:color w:val="000000" w:themeColor="text1"/>
          <w:lang w:val="en-ID"/>
        </w:rPr>
        <w:t xml:space="preserve">Data </w:t>
      </w:r>
      <w:r w:rsidR="009A661A">
        <w:rPr>
          <w:i w:val="0"/>
          <w:color w:val="000000" w:themeColor="text1"/>
          <w:lang w:val="en-ID"/>
        </w:rPr>
        <w:t>Compilation</w:t>
      </w:r>
      <w:r w:rsidRPr="004F5584">
        <w:rPr>
          <w:i w:val="0"/>
          <w:color w:val="000000" w:themeColor="text1"/>
          <w:lang w:val="en-ID"/>
        </w:rPr>
        <w:t>, Processing, and Analysis</w:t>
      </w:r>
    </w:p>
    <w:p w14:paraId="2E763240" w14:textId="43077BBE" w:rsidR="00A06460" w:rsidRPr="00A06460" w:rsidRDefault="0046419A" w:rsidP="00A06460">
      <w:pPr>
        <w:pStyle w:val="SubJudul"/>
        <w:numPr>
          <w:ilvl w:val="0"/>
          <w:numId w:val="0"/>
        </w:numPr>
        <w:rPr>
          <w:b w:val="0"/>
          <w:bCs/>
          <w:color w:val="000000" w:themeColor="text1"/>
          <w:szCs w:val="20"/>
        </w:rPr>
      </w:pPr>
      <w:r w:rsidRPr="0046419A">
        <w:rPr>
          <w:b w:val="0"/>
          <w:bCs/>
          <w:color w:val="000000" w:themeColor="text1"/>
          <w:szCs w:val="20"/>
        </w:rPr>
        <w:t>The later stage is that the questionnaire is disseminated to FinTech services users based on lending in Indonesia</w:t>
      </w:r>
      <w:r w:rsidR="00A06460" w:rsidRPr="00A06460">
        <w:rPr>
          <w:b w:val="0"/>
          <w:bCs/>
          <w:color w:val="000000" w:themeColor="text1"/>
          <w:szCs w:val="20"/>
        </w:rPr>
        <w:t xml:space="preserve">. Respondents involved in this study amounted to 85 people. After the questionnaire results are obtained, the next stage is data processing using the Partial Least Square (PLS) technique. This research uses </w:t>
      </w:r>
      <w:proofErr w:type="spellStart"/>
      <w:r w:rsidR="00A06460" w:rsidRPr="00A06460">
        <w:rPr>
          <w:b w:val="0"/>
          <w:bCs/>
          <w:color w:val="000000" w:themeColor="text1"/>
          <w:szCs w:val="20"/>
        </w:rPr>
        <w:t>SmartPLS</w:t>
      </w:r>
      <w:proofErr w:type="spellEnd"/>
      <w:r w:rsidR="00A06460" w:rsidRPr="00A06460">
        <w:rPr>
          <w:b w:val="0"/>
          <w:bCs/>
          <w:color w:val="000000" w:themeColor="text1"/>
          <w:szCs w:val="20"/>
        </w:rPr>
        <w:t xml:space="preserve"> v3.2.6 software. After that the data were </w:t>
      </w:r>
      <w:proofErr w:type="spellStart"/>
      <w:r w:rsidR="00A06460" w:rsidRPr="00A06460">
        <w:rPr>
          <w:b w:val="0"/>
          <w:bCs/>
          <w:color w:val="000000" w:themeColor="text1"/>
          <w:szCs w:val="20"/>
        </w:rPr>
        <w:t>analyzed</w:t>
      </w:r>
      <w:proofErr w:type="spellEnd"/>
      <w:r w:rsidR="00A06460" w:rsidRPr="00A06460">
        <w:rPr>
          <w:b w:val="0"/>
          <w:bCs/>
          <w:color w:val="000000" w:themeColor="text1"/>
          <w:szCs w:val="20"/>
        </w:rPr>
        <w:t xml:space="preserve"> to get the test results of reliability, validity, R2 value and path coefficients.</w:t>
      </w:r>
    </w:p>
    <w:p w14:paraId="363A0561" w14:textId="03E1178D" w:rsidR="004F5584" w:rsidRDefault="004F5584" w:rsidP="004F5584">
      <w:pPr>
        <w:pStyle w:val="Subsubjudul"/>
        <w:spacing w:line="240" w:lineRule="auto"/>
        <w:ind w:left="567" w:hanging="567"/>
        <w:rPr>
          <w:i w:val="0"/>
          <w:color w:val="000000" w:themeColor="text1"/>
          <w:lang w:val="en-ID"/>
        </w:rPr>
      </w:pPr>
      <w:r w:rsidRPr="004F5584">
        <w:rPr>
          <w:i w:val="0"/>
          <w:color w:val="000000" w:themeColor="text1"/>
          <w:lang w:val="en-ID"/>
        </w:rPr>
        <w:t>Preparation of Recommendations</w:t>
      </w:r>
    </w:p>
    <w:p w14:paraId="688CDBE4" w14:textId="367DA987" w:rsidR="00A06460" w:rsidRPr="00A06460" w:rsidRDefault="00A06460" w:rsidP="00A06460">
      <w:pPr>
        <w:pStyle w:val="SubJudul"/>
        <w:numPr>
          <w:ilvl w:val="0"/>
          <w:numId w:val="0"/>
        </w:numPr>
        <w:rPr>
          <w:b w:val="0"/>
          <w:bCs/>
          <w:color w:val="000000" w:themeColor="text1"/>
          <w:szCs w:val="20"/>
        </w:rPr>
      </w:pPr>
      <w:r w:rsidRPr="00A06460">
        <w:rPr>
          <w:b w:val="0"/>
          <w:bCs/>
          <w:color w:val="000000" w:themeColor="text1"/>
          <w:szCs w:val="20"/>
        </w:rPr>
        <w:t xml:space="preserve">After the data is </w:t>
      </w:r>
      <w:proofErr w:type="spellStart"/>
      <w:r w:rsidRPr="00A06460">
        <w:rPr>
          <w:b w:val="0"/>
          <w:bCs/>
          <w:color w:val="000000" w:themeColor="text1"/>
          <w:szCs w:val="20"/>
        </w:rPr>
        <w:t>analyzed</w:t>
      </w:r>
      <w:proofErr w:type="spellEnd"/>
      <w:r w:rsidRPr="00A06460">
        <w:rPr>
          <w:b w:val="0"/>
          <w:bCs/>
          <w:color w:val="000000" w:themeColor="text1"/>
          <w:szCs w:val="20"/>
        </w:rPr>
        <w:t xml:space="preserve">, the next step is to evaluate the accepted and rejected hypotheses. The rejected hypothesis will be used as a basis for providing recommendations for improving lending-based FinTech services in Indonesia. Meanwhile, the accepted hypothesis can be used for recommendations to maintain the FinTech services that have been built. Two randomly selected respondents will validate the recommendations that have been designed. The two chosen respondents were female and male, with an age range over 30 years old because they were financially mature. The recommendation validation process is </w:t>
      </w:r>
      <w:r w:rsidR="0046419A">
        <w:rPr>
          <w:b w:val="0"/>
          <w:bCs/>
          <w:color w:val="000000" w:themeColor="text1"/>
          <w:szCs w:val="20"/>
        </w:rPr>
        <w:t>executed</w:t>
      </w:r>
      <w:r w:rsidRPr="00A06460">
        <w:rPr>
          <w:b w:val="0"/>
          <w:bCs/>
          <w:color w:val="000000" w:themeColor="text1"/>
          <w:szCs w:val="20"/>
        </w:rPr>
        <w:t xml:space="preserve"> through interviews with the help of </w:t>
      </w:r>
      <w:r w:rsidR="0046419A">
        <w:rPr>
          <w:b w:val="0"/>
          <w:bCs/>
          <w:color w:val="000000" w:themeColor="text1"/>
          <w:szCs w:val="20"/>
        </w:rPr>
        <w:t xml:space="preserve">the </w:t>
      </w:r>
      <w:proofErr w:type="spellStart"/>
      <w:r w:rsidRPr="00A06460">
        <w:rPr>
          <w:b w:val="0"/>
          <w:bCs/>
          <w:color w:val="000000" w:themeColor="text1"/>
          <w:szCs w:val="20"/>
        </w:rPr>
        <w:t>Whatsapp</w:t>
      </w:r>
      <w:proofErr w:type="spellEnd"/>
      <w:r w:rsidRPr="00A06460">
        <w:rPr>
          <w:b w:val="0"/>
          <w:bCs/>
          <w:color w:val="000000" w:themeColor="text1"/>
          <w:szCs w:val="20"/>
        </w:rPr>
        <w:t xml:space="preserve"> platform.</w:t>
      </w:r>
    </w:p>
    <w:p w14:paraId="1A9729A2" w14:textId="77777777" w:rsidR="009F18F8" w:rsidRPr="00BF06EA" w:rsidRDefault="0010445E" w:rsidP="0031699D">
      <w:pPr>
        <w:pStyle w:val="SubJudul"/>
        <w:spacing w:before="100" w:after="100"/>
        <w:ind w:left="284" w:hanging="284"/>
      </w:pPr>
      <w:r w:rsidRPr="00BF06EA">
        <w:t>Results and Discussion</w:t>
      </w:r>
    </w:p>
    <w:p w14:paraId="2B833C5E" w14:textId="417C8832" w:rsidR="00F96A34" w:rsidRPr="00F96A34" w:rsidRDefault="00F96A34" w:rsidP="00F96A34">
      <w:pPr>
        <w:pStyle w:val="SubJudul"/>
        <w:numPr>
          <w:ilvl w:val="0"/>
          <w:numId w:val="0"/>
        </w:numPr>
        <w:rPr>
          <w:b w:val="0"/>
          <w:szCs w:val="20"/>
          <w:lang w:val="en-US"/>
        </w:rPr>
      </w:pPr>
      <w:r w:rsidRPr="00F96A34">
        <w:rPr>
          <w:b w:val="0"/>
          <w:szCs w:val="20"/>
          <w:lang w:val="en-US"/>
        </w:rPr>
        <w:t xml:space="preserve">This </w:t>
      </w:r>
      <w:r w:rsidR="0046419A">
        <w:rPr>
          <w:b w:val="0"/>
          <w:szCs w:val="20"/>
          <w:lang w:val="en-US"/>
        </w:rPr>
        <w:t>field</w:t>
      </w:r>
      <w:r w:rsidRPr="00F96A34">
        <w:rPr>
          <w:b w:val="0"/>
          <w:szCs w:val="20"/>
          <w:lang w:val="en-US"/>
        </w:rPr>
        <w:t xml:space="preserve"> will discuss the results of data processing and analysis which are divided into several sections, namely (1) Respondents Demographics, (2) The </w:t>
      </w:r>
      <w:r w:rsidR="0046419A">
        <w:rPr>
          <w:b w:val="0"/>
          <w:szCs w:val="20"/>
          <w:lang w:val="en-US"/>
        </w:rPr>
        <w:t>Calculation</w:t>
      </w:r>
      <w:r w:rsidRPr="00F96A34">
        <w:rPr>
          <w:b w:val="0"/>
          <w:szCs w:val="20"/>
          <w:lang w:val="en-US"/>
        </w:rPr>
        <w:t xml:space="preserve"> of Measurement Model, (3) The </w:t>
      </w:r>
      <w:r w:rsidR="0046419A">
        <w:rPr>
          <w:b w:val="0"/>
          <w:szCs w:val="20"/>
          <w:lang w:val="en-US"/>
        </w:rPr>
        <w:t>Calculation</w:t>
      </w:r>
      <w:r w:rsidRPr="00F96A34">
        <w:rPr>
          <w:b w:val="0"/>
          <w:szCs w:val="20"/>
          <w:lang w:val="en-US"/>
        </w:rPr>
        <w:t xml:space="preserve"> of Structural Model, (4) Hypothesis Testing, (</w:t>
      </w:r>
      <w:r w:rsidR="00575089">
        <w:rPr>
          <w:b w:val="0"/>
          <w:szCs w:val="20"/>
          <w:lang w:val="en-US"/>
        </w:rPr>
        <w:t>5</w:t>
      </w:r>
      <w:r w:rsidRPr="00F96A34">
        <w:rPr>
          <w:b w:val="0"/>
          <w:szCs w:val="20"/>
          <w:lang w:val="en-US"/>
        </w:rPr>
        <w:t>) Discussion.</w:t>
      </w:r>
    </w:p>
    <w:p w14:paraId="5CC23AB0" w14:textId="082BB408" w:rsidR="00164A77" w:rsidRDefault="00575089" w:rsidP="00164A77">
      <w:pPr>
        <w:pStyle w:val="Subsubjudul"/>
        <w:spacing w:line="240" w:lineRule="auto"/>
        <w:ind w:left="567" w:hanging="567"/>
        <w:rPr>
          <w:i w:val="0"/>
          <w:color w:val="000000" w:themeColor="text1"/>
          <w:lang w:val="en-ID"/>
        </w:rPr>
      </w:pPr>
      <w:r>
        <w:rPr>
          <w:i w:val="0"/>
          <w:color w:val="000000" w:themeColor="text1"/>
          <w:lang w:val="en-ID"/>
        </w:rPr>
        <w:t>Respondents Demographics</w:t>
      </w:r>
    </w:p>
    <w:p w14:paraId="17B37919" w14:textId="4058B0D9" w:rsidR="00164A77" w:rsidRPr="00575089" w:rsidRDefault="00164A77" w:rsidP="00575089">
      <w:pPr>
        <w:pStyle w:val="SubJudul"/>
        <w:numPr>
          <w:ilvl w:val="0"/>
          <w:numId w:val="0"/>
        </w:numPr>
        <w:rPr>
          <w:b w:val="0"/>
          <w:szCs w:val="20"/>
          <w:lang w:val="en-US"/>
        </w:rPr>
      </w:pPr>
      <w:r w:rsidRPr="00575089">
        <w:rPr>
          <w:b w:val="0"/>
          <w:szCs w:val="20"/>
          <w:lang w:val="en-US"/>
        </w:rPr>
        <w:t xml:space="preserve">This study involved 85 respondents with a period from March to July 2020. Respondents were asked to fill out a questionnaire placed on Google Form and distributed online through the </w:t>
      </w:r>
      <w:proofErr w:type="spellStart"/>
      <w:r w:rsidRPr="00575089">
        <w:rPr>
          <w:b w:val="0"/>
          <w:szCs w:val="20"/>
          <w:lang w:val="en-US"/>
        </w:rPr>
        <w:t>Whatssap</w:t>
      </w:r>
      <w:proofErr w:type="spellEnd"/>
      <w:r w:rsidRPr="00575089">
        <w:rPr>
          <w:b w:val="0"/>
          <w:szCs w:val="20"/>
          <w:lang w:val="en-US"/>
        </w:rPr>
        <w:t xml:space="preserve"> Group. Respondents involved came from Jakarta, Bogor, Depok, Tangerang, and Bekasi</w:t>
      </w:r>
      <w:r w:rsidR="00D97BDA">
        <w:rPr>
          <w:b w:val="0"/>
          <w:szCs w:val="20"/>
          <w:lang w:val="en-US"/>
        </w:rPr>
        <w:t xml:space="preserve">, </w:t>
      </w:r>
      <w:r w:rsidRPr="00575089">
        <w:rPr>
          <w:b w:val="0"/>
          <w:szCs w:val="20"/>
          <w:lang w:val="en-US"/>
        </w:rPr>
        <w:t xml:space="preserve">West Java </w:t>
      </w:r>
      <w:r w:rsidR="00D97BDA">
        <w:rPr>
          <w:b w:val="0"/>
          <w:szCs w:val="20"/>
          <w:lang w:val="en-US"/>
        </w:rPr>
        <w:t>(</w:t>
      </w:r>
      <w:r w:rsidRPr="00575089">
        <w:rPr>
          <w:b w:val="0"/>
          <w:szCs w:val="20"/>
          <w:lang w:val="en-US"/>
        </w:rPr>
        <w:t>apart from Bo</w:t>
      </w:r>
      <w:r w:rsidR="00D97BDA">
        <w:rPr>
          <w:b w:val="0"/>
          <w:szCs w:val="20"/>
          <w:lang w:val="en-US"/>
        </w:rPr>
        <w:t>gor, Depok, Tangerang, and Bekasi)</w:t>
      </w:r>
      <w:r w:rsidRPr="00575089">
        <w:rPr>
          <w:b w:val="0"/>
          <w:szCs w:val="20"/>
          <w:lang w:val="en-US"/>
        </w:rPr>
        <w:t xml:space="preserve">, Central Java, and Yogyakarta. </w:t>
      </w:r>
      <w:r w:rsidR="0046419A">
        <w:rPr>
          <w:b w:val="0"/>
          <w:szCs w:val="20"/>
          <w:lang w:val="en-US"/>
        </w:rPr>
        <w:t>Most</w:t>
      </w:r>
      <w:r w:rsidRPr="00575089">
        <w:rPr>
          <w:b w:val="0"/>
          <w:szCs w:val="20"/>
          <w:lang w:val="en-US"/>
        </w:rPr>
        <w:t xml:space="preserve"> of</w:t>
      </w:r>
      <w:r w:rsidR="0046419A">
        <w:rPr>
          <w:b w:val="0"/>
          <w:szCs w:val="20"/>
          <w:lang w:val="en-US"/>
        </w:rPr>
        <w:t xml:space="preserve"> the</w:t>
      </w:r>
      <w:r w:rsidRPr="00575089">
        <w:rPr>
          <w:b w:val="0"/>
          <w:szCs w:val="20"/>
          <w:lang w:val="en-US"/>
        </w:rPr>
        <w:t xml:space="preserve"> respondents involved in this study were in the age range of 20 to 25 years, while most respondents were female. The majority of respondents' education level is Bachelor. Demographic respondents are </w:t>
      </w:r>
      <w:r w:rsidR="00D97BDA">
        <w:rPr>
          <w:b w:val="0"/>
          <w:szCs w:val="20"/>
          <w:lang w:val="en-US"/>
        </w:rPr>
        <w:t>shown</w:t>
      </w:r>
      <w:r w:rsidRPr="00575089">
        <w:rPr>
          <w:b w:val="0"/>
          <w:szCs w:val="20"/>
          <w:lang w:val="en-US"/>
        </w:rPr>
        <w:t xml:space="preserve"> in Table 2.</w:t>
      </w:r>
    </w:p>
    <w:p w14:paraId="5B397019" w14:textId="11250076" w:rsidR="00164A77" w:rsidRPr="00575089" w:rsidRDefault="00164A77" w:rsidP="00575089">
      <w:pPr>
        <w:pStyle w:val="SubJudul"/>
        <w:numPr>
          <w:ilvl w:val="0"/>
          <w:numId w:val="0"/>
        </w:numPr>
        <w:jc w:val="center"/>
        <w:rPr>
          <w:b w:val="0"/>
          <w:bCs/>
          <w:sz w:val="18"/>
          <w:szCs w:val="18"/>
        </w:rPr>
      </w:pPr>
      <w:r w:rsidRPr="00575089">
        <w:rPr>
          <w:b w:val="0"/>
          <w:bCs/>
          <w:sz w:val="18"/>
          <w:szCs w:val="18"/>
        </w:rPr>
        <w:t>Table 2. Respondent</w:t>
      </w:r>
      <w:r w:rsidR="0031699D">
        <w:rPr>
          <w:b w:val="0"/>
          <w:bCs/>
          <w:sz w:val="18"/>
          <w:szCs w:val="18"/>
        </w:rPr>
        <w:t>s</w:t>
      </w:r>
      <w:r w:rsidRPr="00575089">
        <w:rPr>
          <w:b w:val="0"/>
          <w:bCs/>
          <w:sz w:val="18"/>
          <w:szCs w:val="18"/>
        </w:rPr>
        <w:t xml:space="preserve"> Demog</w:t>
      </w:r>
      <w:r w:rsidR="00E4327F">
        <w:rPr>
          <w:b w:val="0"/>
          <w:bCs/>
          <w:sz w:val="18"/>
          <w:szCs w:val="18"/>
        </w:rPr>
        <w:t>r</w:t>
      </w:r>
      <w:r w:rsidRPr="00575089">
        <w:rPr>
          <w:b w:val="0"/>
          <w:bCs/>
          <w:sz w:val="18"/>
          <w:szCs w:val="18"/>
        </w:rPr>
        <w:t>aphic</w:t>
      </w:r>
    </w:p>
    <w:tbl>
      <w:tblPr>
        <w:tblW w:w="6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3"/>
        <w:gridCol w:w="2327"/>
        <w:gridCol w:w="1417"/>
        <w:gridCol w:w="1701"/>
      </w:tblGrid>
      <w:tr w:rsidR="00164A77" w:rsidRPr="00575089" w14:paraId="4AD872C6" w14:textId="77777777" w:rsidTr="00575089">
        <w:trPr>
          <w:jc w:val="center"/>
        </w:trPr>
        <w:tc>
          <w:tcPr>
            <w:tcW w:w="1493" w:type="dxa"/>
            <w:tcBorders>
              <w:top w:val="single" w:sz="4" w:space="0" w:color="auto"/>
              <w:left w:val="nil"/>
              <w:bottom w:val="single" w:sz="4" w:space="0" w:color="auto"/>
              <w:right w:val="nil"/>
            </w:tcBorders>
            <w:vAlign w:val="center"/>
          </w:tcPr>
          <w:p w14:paraId="016796B1" w14:textId="77777777" w:rsidR="00164A77" w:rsidRPr="00575089" w:rsidRDefault="00164A77" w:rsidP="00C179A0">
            <w:pPr>
              <w:contextualSpacing/>
              <w:jc w:val="center"/>
              <w:rPr>
                <w:rFonts w:ascii="Palatino Linotype" w:hAnsi="Palatino Linotype"/>
                <w:b/>
                <w:sz w:val="18"/>
                <w:szCs w:val="18"/>
              </w:rPr>
            </w:pPr>
            <w:r w:rsidRPr="00575089">
              <w:rPr>
                <w:rFonts w:ascii="Palatino Linotype" w:hAnsi="Palatino Linotype"/>
                <w:b/>
                <w:sz w:val="18"/>
                <w:szCs w:val="18"/>
              </w:rPr>
              <w:t>Variable</w:t>
            </w:r>
          </w:p>
        </w:tc>
        <w:tc>
          <w:tcPr>
            <w:tcW w:w="2327" w:type="dxa"/>
            <w:tcBorders>
              <w:top w:val="single" w:sz="4" w:space="0" w:color="auto"/>
              <w:left w:val="nil"/>
              <w:bottom w:val="single" w:sz="4" w:space="0" w:color="auto"/>
              <w:right w:val="nil"/>
            </w:tcBorders>
          </w:tcPr>
          <w:p w14:paraId="7E0CB081" w14:textId="77777777" w:rsidR="00164A77" w:rsidRPr="00575089" w:rsidRDefault="00164A77" w:rsidP="00C179A0">
            <w:pPr>
              <w:contextualSpacing/>
              <w:jc w:val="center"/>
              <w:rPr>
                <w:rFonts w:ascii="Palatino Linotype" w:hAnsi="Palatino Linotype"/>
                <w:b/>
                <w:sz w:val="18"/>
                <w:szCs w:val="18"/>
              </w:rPr>
            </w:pPr>
            <w:r w:rsidRPr="00575089">
              <w:rPr>
                <w:rFonts w:ascii="Palatino Linotype" w:hAnsi="Palatino Linotype"/>
                <w:b/>
                <w:sz w:val="18"/>
                <w:szCs w:val="18"/>
              </w:rPr>
              <w:t>Measure</w:t>
            </w:r>
          </w:p>
        </w:tc>
        <w:tc>
          <w:tcPr>
            <w:tcW w:w="1417" w:type="dxa"/>
            <w:tcBorders>
              <w:top w:val="single" w:sz="4" w:space="0" w:color="auto"/>
              <w:left w:val="nil"/>
              <w:bottom w:val="single" w:sz="4" w:space="0" w:color="auto"/>
              <w:right w:val="nil"/>
            </w:tcBorders>
            <w:vAlign w:val="center"/>
          </w:tcPr>
          <w:p w14:paraId="47DC4B83" w14:textId="77777777" w:rsidR="00164A77" w:rsidRPr="00575089" w:rsidRDefault="00164A77" w:rsidP="00C179A0">
            <w:pPr>
              <w:contextualSpacing/>
              <w:jc w:val="center"/>
              <w:rPr>
                <w:rFonts w:ascii="Palatino Linotype" w:hAnsi="Palatino Linotype"/>
                <w:b/>
                <w:iCs/>
                <w:sz w:val="18"/>
                <w:szCs w:val="18"/>
              </w:rPr>
            </w:pPr>
            <w:r w:rsidRPr="00575089">
              <w:rPr>
                <w:rFonts w:ascii="Palatino Linotype" w:hAnsi="Palatino Linotype"/>
                <w:b/>
                <w:iCs/>
                <w:sz w:val="18"/>
                <w:szCs w:val="18"/>
              </w:rPr>
              <w:t>Sample</w:t>
            </w:r>
          </w:p>
        </w:tc>
        <w:tc>
          <w:tcPr>
            <w:tcW w:w="1701" w:type="dxa"/>
            <w:tcBorders>
              <w:top w:val="single" w:sz="4" w:space="0" w:color="auto"/>
              <w:left w:val="nil"/>
              <w:bottom w:val="single" w:sz="4" w:space="0" w:color="auto"/>
              <w:right w:val="nil"/>
            </w:tcBorders>
            <w:vAlign w:val="center"/>
          </w:tcPr>
          <w:p w14:paraId="6949AF56" w14:textId="77777777" w:rsidR="00164A77" w:rsidRPr="00575089" w:rsidRDefault="00164A77" w:rsidP="00C179A0">
            <w:pPr>
              <w:contextualSpacing/>
              <w:jc w:val="center"/>
              <w:rPr>
                <w:rFonts w:ascii="Palatino Linotype" w:hAnsi="Palatino Linotype"/>
                <w:b/>
                <w:iCs/>
                <w:sz w:val="18"/>
                <w:szCs w:val="18"/>
              </w:rPr>
            </w:pPr>
            <w:r w:rsidRPr="00575089">
              <w:rPr>
                <w:rFonts w:ascii="Palatino Linotype" w:hAnsi="Palatino Linotype"/>
                <w:b/>
                <w:iCs/>
                <w:sz w:val="18"/>
                <w:szCs w:val="18"/>
              </w:rPr>
              <w:t>Percentage (%)</w:t>
            </w:r>
          </w:p>
        </w:tc>
      </w:tr>
      <w:tr w:rsidR="00164A77" w:rsidRPr="00575089" w14:paraId="36A68621" w14:textId="77777777" w:rsidTr="00575089">
        <w:trPr>
          <w:jc w:val="center"/>
        </w:trPr>
        <w:tc>
          <w:tcPr>
            <w:tcW w:w="1493" w:type="dxa"/>
            <w:vMerge w:val="restart"/>
            <w:tcBorders>
              <w:top w:val="single" w:sz="4" w:space="0" w:color="auto"/>
              <w:left w:val="nil"/>
              <w:bottom w:val="nil"/>
              <w:right w:val="nil"/>
            </w:tcBorders>
            <w:shd w:val="clear" w:color="auto" w:fill="auto"/>
            <w:vAlign w:val="center"/>
          </w:tcPr>
          <w:p w14:paraId="6CB7EB6C" w14:textId="77777777" w:rsidR="00164A77" w:rsidRPr="00D97BDA" w:rsidRDefault="00164A77" w:rsidP="00C179A0">
            <w:pPr>
              <w:contextualSpacing/>
              <w:jc w:val="center"/>
              <w:rPr>
                <w:rFonts w:ascii="Palatino Linotype" w:hAnsi="Palatino Linotype"/>
                <w:b/>
                <w:bCs/>
                <w:sz w:val="18"/>
                <w:szCs w:val="18"/>
              </w:rPr>
            </w:pPr>
            <w:r w:rsidRPr="00D97BDA">
              <w:rPr>
                <w:rFonts w:ascii="Palatino Linotype" w:hAnsi="Palatino Linotype"/>
                <w:b/>
                <w:bCs/>
                <w:sz w:val="18"/>
                <w:szCs w:val="18"/>
              </w:rPr>
              <w:t>Domicile</w:t>
            </w:r>
          </w:p>
        </w:tc>
        <w:tc>
          <w:tcPr>
            <w:tcW w:w="2327" w:type="dxa"/>
            <w:tcBorders>
              <w:top w:val="single" w:sz="4" w:space="0" w:color="auto"/>
              <w:left w:val="nil"/>
              <w:bottom w:val="nil"/>
              <w:right w:val="nil"/>
            </w:tcBorders>
            <w:vAlign w:val="bottom"/>
          </w:tcPr>
          <w:p w14:paraId="66CF71BD" w14:textId="58DBD560" w:rsidR="00164A77" w:rsidRPr="00575089" w:rsidRDefault="00D97BDA" w:rsidP="00C179A0">
            <w:pPr>
              <w:contextualSpacing/>
              <w:jc w:val="center"/>
              <w:rPr>
                <w:rFonts w:ascii="Palatino Linotype" w:hAnsi="Palatino Linotype"/>
                <w:sz w:val="18"/>
                <w:szCs w:val="18"/>
              </w:rPr>
            </w:pPr>
            <w:r>
              <w:rPr>
                <w:rFonts w:ascii="Palatino Linotype" w:hAnsi="Palatino Linotype"/>
                <w:sz w:val="18"/>
                <w:szCs w:val="18"/>
              </w:rPr>
              <w:t>Jakarta, Bogor, Depok, Tangerang, and Bekasi</w:t>
            </w:r>
          </w:p>
        </w:tc>
        <w:tc>
          <w:tcPr>
            <w:tcW w:w="1417" w:type="dxa"/>
            <w:tcBorders>
              <w:top w:val="single" w:sz="4" w:space="0" w:color="auto"/>
              <w:left w:val="nil"/>
              <w:bottom w:val="nil"/>
              <w:right w:val="nil"/>
            </w:tcBorders>
            <w:vAlign w:val="bottom"/>
          </w:tcPr>
          <w:p w14:paraId="3F4B41E4" w14:textId="77777777" w:rsidR="00164A77" w:rsidRPr="00575089" w:rsidRDefault="00164A77" w:rsidP="00C179A0">
            <w:pPr>
              <w:contextualSpacing/>
              <w:jc w:val="center"/>
              <w:rPr>
                <w:rFonts w:ascii="Palatino Linotype" w:hAnsi="Palatino Linotype"/>
                <w:sz w:val="18"/>
                <w:szCs w:val="18"/>
              </w:rPr>
            </w:pPr>
            <w:r w:rsidRPr="00575089">
              <w:rPr>
                <w:rFonts w:ascii="Palatino Linotype" w:hAnsi="Palatino Linotype"/>
                <w:sz w:val="18"/>
                <w:szCs w:val="18"/>
              </w:rPr>
              <w:t>70</w:t>
            </w:r>
          </w:p>
        </w:tc>
        <w:tc>
          <w:tcPr>
            <w:tcW w:w="1701" w:type="dxa"/>
            <w:tcBorders>
              <w:top w:val="single" w:sz="4" w:space="0" w:color="auto"/>
              <w:left w:val="nil"/>
              <w:bottom w:val="nil"/>
              <w:right w:val="nil"/>
            </w:tcBorders>
            <w:vAlign w:val="bottom"/>
          </w:tcPr>
          <w:p w14:paraId="452BA6B0" w14:textId="77777777" w:rsidR="00164A77" w:rsidRPr="00575089" w:rsidRDefault="00164A77" w:rsidP="00C179A0">
            <w:pPr>
              <w:contextualSpacing/>
              <w:jc w:val="center"/>
              <w:rPr>
                <w:rFonts w:ascii="Palatino Linotype" w:hAnsi="Palatino Linotype"/>
                <w:sz w:val="18"/>
                <w:szCs w:val="18"/>
              </w:rPr>
            </w:pPr>
            <w:r w:rsidRPr="00575089">
              <w:rPr>
                <w:rFonts w:ascii="Palatino Linotype" w:hAnsi="Palatino Linotype"/>
                <w:sz w:val="18"/>
                <w:szCs w:val="18"/>
              </w:rPr>
              <w:t>83</w:t>
            </w:r>
          </w:p>
        </w:tc>
      </w:tr>
      <w:tr w:rsidR="00164A77" w:rsidRPr="00575089" w14:paraId="58B60C5E" w14:textId="77777777" w:rsidTr="00575089">
        <w:trPr>
          <w:jc w:val="center"/>
        </w:trPr>
        <w:tc>
          <w:tcPr>
            <w:tcW w:w="1493" w:type="dxa"/>
            <w:vMerge/>
            <w:tcBorders>
              <w:top w:val="nil"/>
              <w:left w:val="nil"/>
              <w:bottom w:val="nil"/>
              <w:right w:val="nil"/>
            </w:tcBorders>
            <w:shd w:val="clear" w:color="auto" w:fill="auto"/>
            <w:vAlign w:val="center"/>
          </w:tcPr>
          <w:p w14:paraId="2D7471D0" w14:textId="77777777" w:rsidR="00164A77" w:rsidRPr="00D97BDA" w:rsidRDefault="00164A77" w:rsidP="00C179A0">
            <w:pPr>
              <w:contextualSpacing/>
              <w:jc w:val="center"/>
              <w:rPr>
                <w:rFonts w:ascii="Palatino Linotype" w:hAnsi="Palatino Linotype"/>
                <w:b/>
                <w:bCs/>
                <w:sz w:val="18"/>
                <w:szCs w:val="18"/>
              </w:rPr>
            </w:pPr>
          </w:p>
        </w:tc>
        <w:tc>
          <w:tcPr>
            <w:tcW w:w="2327" w:type="dxa"/>
            <w:tcBorders>
              <w:top w:val="nil"/>
              <w:left w:val="nil"/>
              <w:bottom w:val="nil"/>
              <w:right w:val="nil"/>
            </w:tcBorders>
            <w:vAlign w:val="bottom"/>
          </w:tcPr>
          <w:p w14:paraId="673EF986" w14:textId="77777777" w:rsidR="00164A77" w:rsidRPr="00575089" w:rsidRDefault="00164A77" w:rsidP="00C179A0">
            <w:pPr>
              <w:contextualSpacing/>
              <w:jc w:val="center"/>
              <w:rPr>
                <w:rFonts w:ascii="Palatino Linotype" w:hAnsi="Palatino Linotype"/>
                <w:sz w:val="18"/>
                <w:szCs w:val="18"/>
              </w:rPr>
            </w:pPr>
            <w:r w:rsidRPr="00575089">
              <w:rPr>
                <w:rFonts w:ascii="Palatino Linotype" w:hAnsi="Palatino Linotype"/>
                <w:sz w:val="18"/>
                <w:szCs w:val="18"/>
              </w:rPr>
              <w:t>West Java</w:t>
            </w:r>
          </w:p>
        </w:tc>
        <w:tc>
          <w:tcPr>
            <w:tcW w:w="1417" w:type="dxa"/>
            <w:tcBorders>
              <w:top w:val="nil"/>
              <w:left w:val="nil"/>
              <w:bottom w:val="nil"/>
              <w:right w:val="nil"/>
            </w:tcBorders>
            <w:vAlign w:val="bottom"/>
          </w:tcPr>
          <w:p w14:paraId="75F77606" w14:textId="77777777" w:rsidR="00164A77" w:rsidRPr="00575089" w:rsidRDefault="00164A77" w:rsidP="00C179A0">
            <w:pPr>
              <w:contextualSpacing/>
              <w:jc w:val="center"/>
              <w:rPr>
                <w:rFonts w:ascii="Palatino Linotype" w:hAnsi="Palatino Linotype"/>
                <w:sz w:val="18"/>
                <w:szCs w:val="18"/>
              </w:rPr>
            </w:pPr>
            <w:r w:rsidRPr="00575089">
              <w:rPr>
                <w:rFonts w:ascii="Palatino Linotype" w:hAnsi="Palatino Linotype"/>
                <w:sz w:val="18"/>
                <w:szCs w:val="18"/>
              </w:rPr>
              <w:t>7</w:t>
            </w:r>
          </w:p>
        </w:tc>
        <w:tc>
          <w:tcPr>
            <w:tcW w:w="1701" w:type="dxa"/>
            <w:tcBorders>
              <w:top w:val="nil"/>
              <w:left w:val="nil"/>
              <w:bottom w:val="nil"/>
              <w:right w:val="nil"/>
            </w:tcBorders>
            <w:vAlign w:val="bottom"/>
          </w:tcPr>
          <w:p w14:paraId="3177B70C" w14:textId="77777777" w:rsidR="00164A77" w:rsidRPr="00575089" w:rsidRDefault="00164A77" w:rsidP="00C179A0">
            <w:pPr>
              <w:contextualSpacing/>
              <w:jc w:val="center"/>
              <w:rPr>
                <w:rFonts w:ascii="Palatino Linotype" w:hAnsi="Palatino Linotype"/>
                <w:sz w:val="18"/>
                <w:szCs w:val="18"/>
              </w:rPr>
            </w:pPr>
            <w:r w:rsidRPr="00575089">
              <w:rPr>
                <w:rFonts w:ascii="Palatino Linotype" w:hAnsi="Palatino Linotype"/>
                <w:sz w:val="18"/>
                <w:szCs w:val="18"/>
              </w:rPr>
              <w:t>8</w:t>
            </w:r>
          </w:p>
        </w:tc>
      </w:tr>
      <w:tr w:rsidR="00164A77" w:rsidRPr="00575089" w14:paraId="22FD3CF9" w14:textId="77777777" w:rsidTr="00575089">
        <w:trPr>
          <w:jc w:val="center"/>
        </w:trPr>
        <w:tc>
          <w:tcPr>
            <w:tcW w:w="1493" w:type="dxa"/>
            <w:vMerge/>
            <w:tcBorders>
              <w:top w:val="nil"/>
              <w:left w:val="nil"/>
              <w:bottom w:val="nil"/>
              <w:right w:val="nil"/>
            </w:tcBorders>
            <w:shd w:val="clear" w:color="auto" w:fill="auto"/>
            <w:vAlign w:val="center"/>
          </w:tcPr>
          <w:p w14:paraId="5B055727" w14:textId="77777777" w:rsidR="00164A77" w:rsidRPr="00D97BDA" w:rsidRDefault="00164A77" w:rsidP="00C179A0">
            <w:pPr>
              <w:contextualSpacing/>
              <w:jc w:val="center"/>
              <w:rPr>
                <w:rFonts w:ascii="Palatino Linotype" w:hAnsi="Palatino Linotype"/>
                <w:b/>
                <w:bCs/>
                <w:sz w:val="18"/>
                <w:szCs w:val="18"/>
              </w:rPr>
            </w:pPr>
          </w:p>
        </w:tc>
        <w:tc>
          <w:tcPr>
            <w:tcW w:w="2327" w:type="dxa"/>
            <w:tcBorders>
              <w:top w:val="nil"/>
              <w:left w:val="nil"/>
              <w:bottom w:val="nil"/>
              <w:right w:val="nil"/>
            </w:tcBorders>
            <w:vAlign w:val="bottom"/>
          </w:tcPr>
          <w:p w14:paraId="76ED474F" w14:textId="77777777" w:rsidR="00164A77" w:rsidRPr="00575089" w:rsidRDefault="00164A77" w:rsidP="00C179A0">
            <w:pPr>
              <w:contextualSpacing/>
              <w:jc w:val="center"/>
              <w:rPr>
                <w:rFonts w:ascii="Palatino Linotype" w:hAnsi="Palatino Linotype"/>
                <w:sz w:val="18"/>
                <w:szCs w:val="18"/>
              </w:rPr>
            </w:pPr>
            <w:r w:rsidRPr="00575089">
              <w:rPr>
                <w:rFonts w:ascii="Palatino Linotype" w:hAnsi="Palatino Linotype"/>
                <w:sz w:val="18"/>
                <w:szCs w:val="18"/>
              </w:rPr>
              <w:t>Central Java</w:t>
            </w:r>
          </w:p>
        </w:tc>
        <w:tc>
          <w:tcPr>
            <w:tcW w:w="1417" w:type="dxa"/>
            <w:tcBorders>
              <w:top w:val="nil"/>
              <w:left w:val="nil"/>
              <w:bottom w:val="nil"/>
              <w:right w:val="nil"/>
            </w:tcBorders>
            <w:vAlign w:val="bottom"/>
          </w:tcPr>
          <w:p w14:paraId="07D5A13B" w14:textId="77777777" w:rsidR="00164A77" w:rsidRPr="00575089" w:rsidRDefault="00164A77" w:rsidP="00C179A0">
            <w:pPr>
              <w:contextualSpacing/>
              <w:jc w:val="center"/>
              <w:rPr>
                <w:rFonts w:ascii="Palatino Linotype" w:hAnsi="Palatino Linotype"/>
                <w:sz w:val="18"/>
                <w:szCs w:val="18"/>
              </w:rPr>
            </w:pPr>
            <w:r w:rsidRPr="00575089">
              <w:rPr>
                <w:rFonts w:ascii="Palatino Linotype" w:hAnsi="Palatino Linotype"/>
                <w:sz w:val="18"/>
                <w:szCs w:val="18"/>
              </w:rPr>
              <w:t>7</w:t>
            </w:r>
          </w:p>
        </w:tc>
        <w:tc>
          <w:tcPr>
            <w:tcW w:w="1701" w:type="dxa"/>
            <w:tcBorders>
              <w:top w:val="nil"/>
              <w:left w:val="nil"/>
              <w:bottom w:val="nil"/>
              <w:right w:val="nil"/>
            </w:tcBorders>
            <w:vAlign w:val="bottom"/>
          </w:tcPr>
          <w:p w14:paraId="29970DE8" w14:textId="77777777" w:rsidR="00164A77" w:rsidRPr="00575089" w:rsidRDefault="00164A77" w:rsidP="00C179A0">
            <w:pPr>
              <w:contextualSpacing/>
              <w:jc w:val="center"/>
              <w:rPr>
                <w:rFonts w:ascii="Palatino Linotype" w:hAnsi="Palatino Linotype"/>
                <w:sz w:val="18"/>
                <w:szCs w:val="18"/>
              </w:rPr>
            </w:pPr>
            <w:r w:rsidRPr="00575089">
              <w:rPr>
                <w:rFonts w:ascii="Palatino Linotype" w:hAnsi="Palatino Linotype"/>
                <w:sz w:val="18"/>
                <w:szCs w:val="18"/>
              </w:rPr>
              <w:t>8</w:t>
            </w:r>
          </w:p>
        </w:tc>
      </w:tr>
      <w:tr w:rsidR="00164A77" w:rsidRPr="00575089" w14:paraId="30892A5B" w14:textId="77777777" w:rsidTr="00575089">
        <w:trPr>
          <w:jc w:val="center"/>
        </w:trPr>
        <w:tc>
          <w:tcPr>
            <w:tcW w:w="1493" w:type="dxa"/>
            <w:vMerge/>
            <w:tcBorders>
              <w:top w:val="nil"/>
              <w:left w:val="nil"/>
              <w:bottom w:val="nil"/>
              <w:right w:val="nil"/>
            </w:tcBorders>
            <w:shd w:val="clear" w:color="auto" w:fill="auto"/>
            <w:vAlign w:val="center"/>
          </w:tcPr>
          <w:p w14:paraId="6818DF11" w14:textId="77777777" w:rsidR="00164A77" w:rsidRPr="00D97BDA" w:rsidRDefault="00164A77" w:rsidP="00C179A0">
            <w:pPr>
              <w:contextualSpacing/>
              <w:jc w:val="center"/>
              <w:rPr>
                <w:rFonts w:ascii="Palatino Linotype" w:hAnsi="Palatino Linotype"/>
                <w:b/>
                <w:bCs/>
                <w:sz w:val="18"/>
                <w:szCs w:val="18"/>
              </w:rPr>
            </w:pPr>
          </w:p>
        </w:tc>
        <w:tc>
          <w:tcPr>
            <w:tcW w:w="2327" w:type="dxa"/>
            <w:tcBorders>
              <w:top w:val="nil"/>
              <w:left w:val="nil"/>
              <w:bottom w:val="nil"/>
              <w:right w:val="nil"/>
            </w:tcBorders>
            <w:vAlign w:val="bottom"/>
          </w:tcPr>
          <w:p w14:paraId="1D327B60" w14:textId="77777777" w:rsidR="00164A77" w:rsidRPr="00575089" w:rsidRDefault="00164A77" w:rsidP="00C179A0">
            <w:pPr>
              <w:contextualSpacing/>
              <w:jc w:val="center"/>
              <w:rPr>
                <w:rFonts w:ascii="Palatino Linotype" w:hAnsi="Palatino Linotype"/>
                <w:sz w:val="18"/>
                <w:szCs w:val="18"/>
              </w:rPr>
            </w:pPr>
            <w:r w:rsidRPr="00575089">
              <w:rPr>
                <w:rFonts w:ascii="Palatino Linotype" w:hAnsi="Palatino Linotype"/>
                <w:sz w:val="18"/>
                <w:szCs w:val="18"/>
              </w:rPr>
              <w:t>Yogyakarta</w:t>
            </w:r>
          </w:p>
        </w:tc>
        <w:tc>
          <w:tcPr>
            <w:tcW w:w="1417" w:type="dxa"/>
            <w:tcBorders>
              <w:top w:val="nil"/>
              <w:left w:val="nil"/>
              <w:bottom w:val="nil"/>
              <w:right w:val="nil"/>
            </w:tcBorders>
            <w:vAlign w:val="bottom"/>
          </w:tcPr>
          <w:p w14:paraId="34B3D071" w14:textId="77777777" w:rsidR="00164A77" w:rsidRPr="00575089" w:rsidRDefault="00164A77" w:rsidP="00C179A0">
            <w:pPr>
              <w:contextualSpacing/>
              <w:jc w:val="center"/>
              <w:rPr>
                <w:rFonts w:ascii="Palatino Linotype" w:hAnsi="Palatino Linotype"/>
                <w:sz w:val="18"/>
                <w:szCs w:val="18"/>
              </w:rPr>
            </w:pPr>
            <w:r w:rsidRPr="00575089">
              <w:rPr>
                <w:rFonts w:ascii="Palatino Linotype" w:hAnsi="Palatino Linotype"/>
                <w:sz w:val="18"/>
                <w:szCs w:val="18"/>
              </w:rPr>
              <w:t>1</w:t>
            </w:r>
          </w:p>
        </w:tc>
        <w:tc>
          <w:tcPr>
            <w:tcW w:w="1701" w:type="dxa"/>
            <w:tcBorders>
              <w:top w:val="nil"/>
              <w:left w:val="nil"/>
              <w:bottom w:val="nil"/>
              <w:right w:val="nil"/>
            </w:tcBorders>
            <w:vAlign w:val="bottom"/>
          </w:tcPr>
          <w:p w14:paraId="71504C39" w14:textId="77777777" w:rsidR="00164A77" w:rsidRPr="00575089" w:rsidRDefault="00164A77" w:rsidP="00C179A0">
            <w:pPr>
              <w:contextualSpacing/>
              <w:jc w:val="center"/>
              <w:rPr>
                <w:rFonts w:ascii="Palatino Linotype" w:hAnsi="Palatino Linotype"/>
                <w:sz w:val="18"/>
                <w:szCs w:val="18"/>
              </w:rPr>
            </w:pPr>
            <w:r w:rsidRPr="00575089">
              <w:rPr>
                <w:rFonts w:ascii="Palatino Linotype" w:hAnsi="Palatino Linotype"/>
                <w:sz w:val="18"/>
                <w:szCs w:val="18"/>
              </w:rPr>
              <w:t>1</w:t>
            </w:r>
          </w:p>
        </w:tc>
      </w:tr>
      <w:tr w:rsidR="00164A77" w:rsidRPr="00575089" w14:paraId="2946F3EE" w14:textId="77777777" w:rsidTr="00575089">
        <w:trPr>
          <w:jc w:val="center"/>
        </w:trPr>
        <w:tc>
          <w:tcPr>
            <w:tcW w:w="1493" w:type="dxa"/>
            <w:vMerge w:val="restart"/>
            <w:tcBorders>
              <w:top w:val="nil"/>
              <w:left w:val="nil"/>
              <w:bottom w:val="nil"/>
              <w:right w:val="nil"/>
            </w:tcBorders>
            <w:shd w:val="clear" w:color="auto" w:fill="auto"/>
            <w:vAlign w:val="center"/>
          </w:tcPr>
          <w:p w14:paraId="192AC472" w14:textId="77777777" w:rsidR="00164A77" w:rsidRPr="00D97BDA" w:rsidRDefault="00164A77" w:rsidP="00C179A0">
            <w:pPr>
              <w:contextualSpacing/>
              <w:jc w:val="center"/>
              <w:rPr>
                <w:rFonts w:ascii="Palatino Linotype" w:hAnsi="Palatino Linotype"/>
                <w:b/>
                <w:bCs/>
                <w:sz w:val="18"/>
                <w:szCs w:val="18"/>
              </w:rPr>
            </w:pPr>
            <w:r w:rsidRPr="00D97BDA">
              <w:rPr>
                <w:rFonts w:ascii="Palatino Linotype" w:hAnsi="Palatino Linotype"/>
                <w:b/>
                <w:bCs/>
                <w:sz w:val="18"/>
                <w:szCs w:val="18"/>
              </w:rPr>
              <w:t>Age</w:t>
            </w:r>
          </w:p>
        </w:tc>
        <w:tc>
          <w:tcPr>
            <w:tcW w:w="2327" w:type="dxa"/>
            <w:tcBorders>
              <w:top w:val="nil"/>
              <w:left w:val="nil"/>
              <w:bottom w:val="nil"/>
              <w:right w:val="nil"/>
            </w:tcBorders>
            <w:vAlign w:val="center"/>
          </w:tcPr>
          <w:p w14:paraId="18BF05A9" w14:textId="77777777" w:rsidR="00164A77" w:rsidRPr="00575089" w:rsidRDefault="00164A77" w:rsidP="00C179A0">
            <w:pPr>
              <w:contextualSpacing/>
              <w:jc w:val="center"/>
              <w:rPr>
                <w:rFonts w:ascii="Palatino Linotype" w:hAnsi="Palatino Linotype"/>
                <w:sz w:val="18"/>
                <w:szCs w:val="18"/>
              </w:rPr>
            </w:pPr>
            <w:r w:rsidRPr="00575089">
              <w:rPr>
                <w:rFonts w:ascii="Palatino Linotype" w:hAnsi="Palatino Linotype"/>
                <w:sz w:val="18"/>
                <w:szCs w:val="18"/>
              </w:rPr>
              <w:t>20-25 years old</w:t>
            </w:r>
          </w:p>
        </w:tc>
        <w:tc>
          <w:tcPr>
            <w:tcW w:w="1417" w:type="dxa"/>
            <w:tcBorders>
              <w:top w:val="nil"/>
              <w:left w:val="nil"/>
              <w:bottom w:val="nil"/>
              <w:right w:val="nil"/>
            </w:tcBorders>
            <w:vAlign w:val="center"/>
          </w:tcPr>
          <w:p w14:paraId="7348D95E" w14:textId="77777777" w:rsidR="00164A77" w:rsidRPr="00575089" w:rsidRDefault="00164A77" w:rsidP="00C179A0">
            <w:pPr>
              <w:contextualSpacing/>
              <w:jc w:val="center"/>
              <w:rPr>
                <w:rFonts w:ascii="Palatino Linotype" w:hAnsi="Palatino Linotype"/>
                <w:sz w:val="18"/>
                <w:szCs w:val="18"/>
              </w:rPr>
            </w:pPr>
            <w:r w:rsidRPr="00575089">
              <w:rPr>
                <w:rFonts w:ascii="Palatino Linotype" w:hAnsi="Palatino Linotype"/>
                <w:sz w:val="18"/>
                <w:szCs w:val="18"/>
              </w:rPr>
              <w:t>73</w:t>
            </w:r>
          </w:p>
        </w:tc>
        <w:tc>
          <w:tcPr>
            <w:tcW w:w="1701" w:type="dxa"/>
            <w:tcBorders>
              <w:top w:val="nil"/>
              <w:left w:val="nil"/>
              <w:bottom w:val="nil"/>
              <w:right w:val="nil"/>
            </w:tcBorders>
            <w:vAlign w:val="center"/>
          </w:tcPr>
          <w:p w14:paraId="4CC7D519" w14:textId="77777777" w:rsidR="00164A77" w:rsidRPr="00575089" w:rsidRDefault="00164A77" w:rsidP="00C179A0">
            <w:pPr>
              <w:contextualSpacing/>
              <w:jc w:val="center"/>
              <w:rPr>
                <w:rFonts w:ascii="Palatino Linotype" w:hAnsi="Palatino Linotype"/>
                <w:sz w:val="18"/>
                <w:szCs w:val="18"/>
              </w:rPr>
            </w:pPr>
            <w:r w:rsidRPr="00575089">
              <w:rPr>
                <w:rFonts w:ascii="Palatino Linotype" w:hAnsi="Palatino Linotype"/>
                <w:sz w:val="18"/>
                <w:szCs w:val="18"/>
              </w:rPr>
              <w:t>86</w:t>
            </w:r>
          </w:p>
        </w:tc>
      </w:tr>
      <w:tr w:rsidR="00164A77" w:rsidRPr="00575089" w14:paraId="5E0DBBF9" w14:textId="77777777" w:rsidTr="00575089">
        <w:trPr>
          <w:jc w:val="center"/>
        </w:trPr>
        <w:tc>
          <w:tcPr>
            <w:tcW w:w="1493" w:type="dxa"/>
            <w:vMerge/>
            <w:tcBorders>
              <w:top w:val="nil"/>
              <w:left w:val="nil"/>
              <w:bottom w:val="nil"/>
              <w:right w:val="nil"/>
            </w:tcBorders>
            <w:shd w:val="clear" w:color="auto" w:fill="auto"/>
            <w:vAlign w:val="center"/>
          </w:tcPr>
          <w:p w14:paraId="2208AEC1" w14:textId="77777777" w:rsidR="00164A77" w:rsidRPr="00D97BDA" w:rsidRDefault="00164A77" w:rsidP="00C179A0">
            <w:pPr>
              <w:contextualSpacing/>
              <w:jc w:val="center"/>
              <w:rPr>
                <w:rFonts w:ascii="Palatino Linotype" w:hAnsi="Palatino Linotype"/>
                <w:b/>
                <w:bCs/>
                <w:sz w:val="18"/>
                <w:szCs w:val="18"/>
              </w:rPr>
            </w:pPr>
          </w:p>
        </w:tc>
        <w:tc>
          <w:tcPr>
            <w:tcW w:w="2327" w:type="dxa"/>
            <w:tcBorders>
              <w:top w:val="nil"/>
              <w:left w:val="nil"/>
              <w:bottom w:val="nil"/>
              <w:right w:val="nil"/>
            </w:tcBorders>
            <w:vAlign w:val="center"/>
          </w:tcPr>
          <w:p w14:paraId="4224EBEB" w14:textId="77777777" w:rsidR="00164A77" w:rsidRPr="00575089" w:rsidRDefault="00164A77" w:rsidP="00C179A0">
            <w:pPr>
              <w:contextualSpacing/>
              <w:jc w:val="center"/>
              <w:rPr>
                <w:rFonts w:ascii="Palatino Linotype" w:hAnsi="Palatino Linotype"/>
                <w:sz w:val="18"/>
                <w:szCs w:val="18"/>
              </w:rPr>
            </w:pPr>
            <w:r w:rsidRPr="00575089">
              <w:rPr>
                <w:rFonts w:ascii="Palatino Linotype" w:hAnsi="Palatino Linotype"/>
                <w:sz w:val="18"/>
                <w:szCs w:val="18"/>
              </w:rPr>
              <w:t>26-40 years old</w:t>
            </w:r>
          </w:p>
        </w:tc>
        <w:tc>
          <w:tcPr>
            <w:tcW w:w="1417" w:type="dxa"/>
            <w:tcBorders>
              <w:top w:val="nil"/>
              <w:left w:val="nil"/>
              <w:bottom w:val="nil"/>
              <w:right w:val="nil"/>
            </w:tcBorders>
            <w:vAlign w:val="center"/>
          </w:tcPr>
          <w:p w14:paraId="1D7B6CFE" w14:textId="77777777" w:rsidR="00164A77" w:rsidRPr="00575089" w:rsidRDefault="00164A77" w:rsidP="00C179A0">
            <w:pPr>
              <w:contextualSpacing/>
              <w:jc w:val="center"/>
              <w:rPr>
                <w:rFonts w:ascii="Palatino Linotype" w:hAnsi="Palatino Linotype"/>
                <w:sz w:val="18"/>
                <w:szCs w:val="18"/>
              </w:rPr>
            </w:pPr>
            <w:r w:rsidRPr="00575089">
              <w:rPr>
                <w:rFonts w:ascii="Palatino Linotype" w:hAnsi="Palatino Linotype"/>
                <w:sz w:val="18"/>
                <w:szCs w:val="18"/>
              </w:rPr>
              <w:t>9</w:t>
            </w:r>
          </w:p>
        </w:tc>
        <w:tc>
          <w:tcPr>
            <w:tcW w:w="1701" w:type="dxa"/>
            <w:tcBorders>
              <w:top w:val="nil"/>
              <w:left w:val="nil"/>
              <w:bottom w:val="nil"/>
              <w:right w:val="nil"/>
            </w:tcBorders>
            <w:vAlign w:val="center"/>
          </w:tcPr>
          <w:p w14:paraId="2310FEDA" w14:textId="77777777" w:rsidR="00164A77" w:rsidRPr="00575089" w:rsidRDefault="00164A77" w:rsidP="00C179A0">
            <w:pPr>
              <w:contextualSpacing/>
              <w:jc w:val="center"/>
              <w:rPr>
                <w:rFonts w:ascii="Palatino Linotype" w:hAnsi="Palatino Linotype"/>
                <w:sz w:val="18"/>
                <w:szCs w:val="18"/>
              </w:rPr>
            </w:pPr>
            <w:r w:rsidRPr="00575089">
              <w:rPr>
                <w:rFonts w:ascii="Palatino Linotype" w:hAnsi="Palatino Linotype"/>
                <w:sz w:val="18"/>
                <w:szCs w:val="18"/>
              </w:rPr>
              <w:t>11</w:t>
            </w:r>
          </w:p>
        </w:tc>
      </w:tr>
      <w:tr w:rsidR="00164A77" w:rsidRPr="00575089" w14:paraId="0211E004" w14:textId="77777777" w:rsidTr="00575089">
        <w:trPr>
          <w:jc w:val="center"/>
        </w:trPr>
        <w:tc>
          <w:tcPr>
            <w:tcW w:w="1493" w:type="dxa"/>
            <w:vMerge/>
            <w:tcBorders>
              <w:top w:val="nil"/>
              <w:left w:val="nil"/>
              <w:bottom w:val="nil"/>
              <w:right w:val="nil"/>
            </w:tcBorders>
            <w:shd w:val="clear" w:color="auto" w:fill="auto"/>
            <w:vAlign w:val="center"/>
          </w:tcPr>
          <w:p w14:paraId="4FF123EF" w14:textId="77777777" w:rsidR="00164A77" w:rsidRPr="00D97BDA" w:rsidRDefault="00164A77" w:rsidP="00C179A0">
            <w:pPr>
              <w:contextualSpacing/>
              <w:jc w:val="center"/>
              <w:rPr>
                <w:rFonts w:ascii="Palatino Linotype" w:hAnsi="Palatino Linotype"/>
                <w:b/>
                <w:bCs/>
                <w:sz w:val="18"/>
                <w:szCs w:val="18"/>
              </w:rPr>
            </w:pPr>
          </w:p>
        </w:tc>
        <w:tc>
          <w:tcPr>
            <w:tcW w:w="2327" w:type="dxa"/>
            <w:tcBorders>
              <w:top w:val="nil"/>
              <w:left w:val="nil"/>
              <w:bottom w:val="nil"/>
              <w:right w:val="nil"/>
            </w:tcBorders>
            <w:vAlign w:val="center"/>
          </w:tcPr>
          <w:p w14:paraId="70FC77EA" w14:textId="3F3CA9DD" w:rsidR="00164A77" w:rsidRPr="00575089" w:rsidRDefault="00164A77" w:rsidP="00C179A0">
            <w:pPr>
              <w:contextualSpacing/>
              <w:jc w:val="center"/>
              <w:rPr>
                <w:rFonts w:ascii="Palatino Linotype" w:hAnsi="Palatino Linotype"/>
                <w:sz w:val="18"/>
                <w:szCs w:val="18"/>
              </w:rPr>
            </w:pPr>
            <w:r w:rsidRPr="00575089">
              <w:rPr>
                <w:rFonts w:ascii="Palatino Linotype" w:hAnsi="Palatino Linotype"/>
                <w:sz w:val="18"/>
                <w:szCs w:val="18"/>
              </w:rPr>
              <w:t>31</w:t>
            </w:r>
            <w:r w:rsidR="00D97BDA">
              <w:rPr>
                <w:rFonts w:ascii="Palatino Linotype" w:hAnsi="Palatino Linotype"/>
                <w:sz w:val="18"/>
                <w:szCs w:val="18"/>
              </w:rPr>
              <w:t xml:space="preserve"> until </w:t>
            </w:r>
            <w:r w:rsidRPr="00575089">
              <w:rPr>
                <w:rFonts w:ascii="Palatino Linotype" w:hAnsi="Palatino Linotype"/>
                <w:sz w:val="18"/>
                <w:szCs w:val="18"/>
              </w:rPr>
              <w:t>35 years old</w:t>
            </w:r>
          </w:p>
        </w:tc>
        <w:tc>
          <w:tcPr>
            <w:tcW w:w="1417" w:type="dxa"/>
            <w:tcBorders>
              <w:top w:val="nil"/>
              <w:left w:val="nil"/>
              <w:bottom w:val="nil"/>
              <w:right w:val="nil"/>
            </w:tcBorders>
            <w:vAlign w:val="center"/>
          </w:tcPr>
          <w:p w14:paraId="20914206" w14:textId="77777777" w:rsidR="00164A77" w:rsidRPr="00575089" w:rsidRDefault="00164A77" w:rsidP="00C179A0">
            <w:pPr>
              <w:contextualSpacing/>
              <w:jc w:val="center"/>
              <w:rPr>
                <w:rFonts w:ascii="Palatino Linotype" w:hAnsi="Palatino Linotype"/>
                <w:sz w:val="18"/>
                <w:szCs w:val="18"/>
              </w:rPr>
            </w:pPr>
            <w:r w:rsidRPr="00575089">
              <w:rPr>
                <w:rFonts w:ascii="Palatino Linotype" w:hAnsi="Palatino Linotype"/>
                <w:sz w:val="18"/>
                <w:szCs w:val="18"/>
              </w:rPr>
              <w:t>2</w:t>
            </w:r>
          </w:p>
        </w:tc>
        <w:tc>
          <w:tcPr>
            <w:tcW w:w="1701" w:type="dxa"/>
            <w:tcBorders>
              <w:top w:val="nil"/>
              <w:left w:val="nil"/>
              <w:bottom w:val="nil"/>
              <w:right w:val="nil"/>
            </w:tcBorders>
            <w:vAlign w:val="center"/>
          </w:tcPr>
          <w:p w14:paraId="7F9E96F3" w14:textId="77777777" w:rsidR="00164A77" w:rsidRPr="00575089" w:rsidRDefault="00164A77" w:rsidP="00C179A0">
            <w:pPr>
              <w:contextualSpacing/>
              <w:jc w:val="center"/>
              <w:rPr>
                <w:rFonts w:ascii="Palatino Linotype" w:hAnsi="Palatino Linotype"/>
                <w:sz w:val="18"/>
                <w:szCs w:val="18"/>
              </w:rPr>
            </w:pPr>
            <w:r w:rsidRPr="00575089">
              <w:rPr>
                <w:rFonts w:ascii="Palatino Linotype" w:hAnsi="Palatino Linotype"/>
                <w:sz w:val="18"/>
                <w:szCs w:val="18"/>
              </w:rPr>
              <w:t>2</w:t>
            </w:r>
          </w:p>
        </w:tc>
      </w:tr>
      <w:tr w:rsidR="00164A77" w:rsidRPr="00575089" w14:paraId="7CEEB506" w14:textId="77777777" w:rsidTr="00575089">
        <w:trPr>
          <w:jc w:val="center"/>
        </w:trPr>
        <w:tc>
          <w:tcPr>
            <w:tcW w:w="1493" w:type="dxa"/>
            <w:vMerge/>
            <w:tcBorders>
              <w:top w:val="nil"/>
              <w:left w:val="nil"/>
              <w:bottom w:val="nil"/>
              <w:right w:val="nil"/>
            </w:tcBorders>
            <w:shd w:val="clear" w:color="auto" w:fill="auto"/>
            <w:vAlign w:val="center"/>
          </w:tcPr>
          <w:p w14:paraId="02CBB720" w14:textId="77777777" w:rsidR="00164A77" w:rsidRPr="00D97BDA" w:rsidRDefault="00164A77" w:rsidP="00C179A0">
            <w:pPr>
              <w:contextualSpacing/>
              <w:jc w:val="center"/>
              <w:rPr>
                <w:rFonts w:ascii="Palatino Linotype" w:hAnsi="Palatino Linotype"/>
                <w:b/>
                <w:bCs/>
                <w:sz w:val="18"/>
                <w:szCs w:val="18"/>
              </w:rPr>
            </w:pPr>
          </w:p>
        </w:tc>
        <w:tc>
          <w:tcPr>
            <w:tcW w:w="2327" w:type="dxa"/>
            <w:tcBorders>
              <w:top w:val="nil"/>
              <w:left w:val="nil"/>
              <w:bottom w:val="nil"/>
              <w:right w:val="nil"/>
            </w:tcBorders>
            <w:vAlign w:val="center"/>
          </w:tcPr>
          <w:p w14:paraId="5C3CE68C" w14:textId="56E531E8" w:rsidR="00164A77" w:rsidRPr="00575089" w:rsidRDefault="00164A77" w:rsidP="00C179A0">
            <w:pPr>
              <w:contextualSpacing/>
              <w:jc w:val="center"/>
              <w:rPr>
                <w:rFonts w:ascii="Palatino Linotype" w:hAnsi="Palatino Linotype"/>
                <w:sz w:val="18"/>
                <w:szCs w:val="18"/>
              </w:rPr>
            </w:pPr>
            <w:r w:rsidRPr="00575089">
              <w:rPr>
                <w:rFonts w:ascii="Palatino Linotype" w:hAnsi="Palatino Linotype"/>
                <w:sz w:val="18"/>
                <w:szCs w:val="18"/>
              </w:rPr>
              <w:t>36</w:t>
            </w:r>
            <w:r w:rsidR="00D97BDA">
              <w:rPr>
                <w:rFonts w:ascii="Palatino Linotype" w:hAnsi="Palatino Linotype"/>
                <w:sz w:val="18"/>
                <w:szCs w:val="18"/>
              </w:rPr>
              <w:t xml:space="preserve"> until </w:t>
            </w:r>
            <w:r w:rsidRPr="00575089">
              <w:rPr>
                <w:rFonts w:ascii="Palatino Linotype" w:hAnsi="Palatino Linotype"/>
                <w:sz w:val="18"/>
                <w:szCs w:val="18"/>
              </w:rPr>
              <w:t>40 years old</w:t>
            </w:r>
          </w:p>
        </w:tc>
        <w:tc>
          <w:tcPr>
            <w:tcW w:w="1417" w:type="dxa"/>
            <w:tcBorders>
              <w:top w:val="nil"/>
              <w:left w:val="nil"/>
              <w:bottom w:val="nil"/>
              <w:right w:val="nil"/>
            </w:tcBorders>
            <w:vAlign w:val="center"/>
          </w:tcPr>
          <w:p w14:paraId="276561DF" w14:textId="77777777" w:rsidR="00164A77" w:rsidRPr="00575089" w:rsidRDefault="00164A77" w:rsidP="00C179A0">
            <w:pPr>
              <w:contextualSpacing/>
              <w:jc w:val="center"/>
              <w:rPr>
                <w:rFonts w:ascii="Palatino Linotype" w:hAnsi="Palatino Linotype"/>
                <w:sz w:val="18"/>
                <w:szCs w:val="18"/>
              </w:rPr>
            </w:pPr>
            <w:r w:rsidRPr="00575089">
              <w:rPr>
                <w:rFonts w:ascii="Palatino Linotype" w:hAnsi="Palatino Linotype"/>
                <w:sz w:val="18"/>
                <w:szCs w:val="18"/>
              </w:rPr>
              <w:t>0</w:t>
            </w:r>
          </w:p>
        </w:tc>
        <w:tc>
          <w:tcPr>
            <w:tcW w:w="1701" w:type="dxa"/>
            <w:tcBorders>
              <w:top w:val="nil"/>
              <w:left w:val="nil"/>
              <w:bottom w:val="nil"/>
              <w:right w:val="nil"/>
            </w:tcBorders>
            <w:vAlign w:val="center"/>
          </w:tcPr>
          <w:p w14:paraId="7768721D" w14:textId="77777777" w:rsidR="00164A77" w:rsidRPr="00575089" w:rsidRDefault="00164A77" w:rsidP="00C179A0">
            <w:pPr>
              <w:contextualSpacing/>
              <w:jc w:val="center"/>
              <w:rPr>
                <w:rFonts w:ascii="Palatino Linotype" w:hAnsi="Palatino Linotype"/>
                <w:sz w:val="18"/>
                <w:szCs w:val="18"/>
              </w:rPr>
            </w:pPr>
            <w:r w:rsidRPr="00575089">
              <w:rPr>
                <w:rFonts w:ascii="Palatino Linotype" w:hAnsi="Palatino Linotype"/>
                <w:sz w:val="18"/>
                <w:szCs w:val="18"/>
              </w:rPr>
              <w:t>0</w:t>
            </w:r>
          </w:p>
        </w:tc>
      </w:tr>
      <w:tr w:rsidR="00164A77" w:rsidRPr="00575089" w14:paraId="6757F031" w14:textId="77777777" w:rsidTr="00575089">
        <w:trPr>
          <w:jc w:val="center"/>
        </w:trPr>
        <w:tc>
          <w:tcPr>
            <w:tcW w:w="1493" w:type="dxa"/>
            <w:vMerge/>
            <w:tcBorders>
              <w:top w:val="nil"/>
              <w:left w:val="nil"/>
              <w:bottom w:val="nil"/>
              <w:right w:val="nil"/>
            </w:tcBorders>
            <w:shd w:val="clear" w:color="auto" w:fill="auto"/>
            <w:vAlign w:val="center"/>
          </w:tcPr>
          <w:p w14:paraId="6CA395FF" w14:textId="77777777" w:rsidR="00164A77" w:rsidRPr="00D97BDA" w:rsidRDefault="00164A77" w:rsidP="00C179A0">
            <w:pPr>
              <w:contextualSpacing/>
              <w:jc w:val="center"/>
              <w:rPr>
                <w:rFonts w:ascii="Palatino Linotype" w:hAnsi="Palatino Linotype"/>
                <w:b/>
                <w:bCs/>
                <w:sz w:val="18"/>
                <w:szCs w:val="18"/>
              </w:rPr>
            </w:pPr>
          </w:p>
        </w:tc>
        <w:tc>
          <w:tcPr>
            <w:tcW w:w="2327" w:type="dxa"/>
            <w:tcBorders>
              <w:top w:val="nil"/>
              <w:left w:val="nil"/>
              <w:bottom w:val="nil"/>
              <w:right w:val="nil"/>
            </w:tcBorders>
            <w:vAlign w:val="center"/>
          </w:tcPr>
          <w:p w14:paraId="5ABE4A5A" w14:textId="3E7BD6C6" w:rsidR="00164A77" w:rsidRPr="00575089" w:rsidRDefault="00164A77" w:rsidP="00C179A0">
            <w:pPr>
              <w:contextualSpacing/>
              <w:jc w:val="center"/>
              <w:rPr>
                <w:rFonts w:ascii="Palatino Linotype" w:hAnsi="Palatino Linotype"/>
                <w:sz w:val="18"/>
                <w:szCs w:val="18"/>
              </w:rPr>
            </w:pPr>
            <w:r w:rsidRPr="00575089">
              <w:rPr>
                <w:rFonts w:ascii="Palatino Linotype" w:hAnsi="Palatino Linotype"/>
                <w:sz w:val="18"/>
                <w:szCs w:val="18"/>
              </w:rPr>
              <w:t>41</w:t>
            </w:r>
            <w:r w:rsidR="00D97BDA">
              <w:rPr>
                <w:rFonts w:ascii="Palatino Linotype" w:hAnsi="Palatino Linotype"/>
                <w:sz w:val="18"/>
                <w:szCs w:val="18"/>
              </w:rPr>
              <w:t xml:space="preserve"> until </w:t>
            </w:r>
            <w:r w:rsidRPr="00575089">
              <w:rPr>
                <w:rFonts w:ascii="Palatino Linotype" w:hAnsi="Palatino Linotype"/>
                <w:sz w:val="18"/>
                <w:szCs w:val="18"/>
              </w:rPr>
              <w:t>45 years old</w:t>
            </w:r>
          </w:p>
        </w:tc>
        <w:tc>
          <w:tcPr>
            <w:tcW w:w="1417" w:type="dxa"/>
            <w:tcBorders>
              <w:top w:val="nil"/>
              <w:left w:val="nil"/>
              <w:bottom w:val="nil"/>
              <w:right w:val="nil"/>
            </w:tcBorders>
            <w:vAlign w:val="center"/>
          </w:tcPr>
          <w:p w14:paraId="51373C21" w14:textId="77777777" w:rsidR="00164A77" w:rsidRPr="00575089" w:rsidRDefault="00164A77" w:rsidP="00C179A0">
            <w:pPr>
              <w:contextualSpacing/>
              <w:jc w:val="center"/>
              <w:rPr>
                <w:rFonts w:ascii="Palatino Linotype" w:hAnsi="Palatino Linotype"/>
                <w:sz w:val="18"/>
                <w:szCs w:val="18"/>
              </w:rPr>
            </w:pPr>
            <w:r w:rsidRPr="00575089">
              <w:rPr>
                <w:rFonts w:ascii="Palatino Linotype" w:hAnsi="Palatino Linotype"/>
                <w:sz w:val="18"/>
                <w:szCs w:val="18"/>
              </w:rPr>
              <w:t>1</w:t>
            </w:r>
          </w:p>
        </w:tc>
        <w:tc>
          <w:tcPr>
            <w:tcW w:w="1701" w:type="dxa"/>
            <w:tcBorders>
              <w:top w:val="nil"/>
              <w:left w:val="nil"/>
              <w:bottom w:val="nil"/>
              <w:right w:val="nil"/>
            </w:tcBorders>
            <w:vAlign w:val="center"/>
          </w:tcPr>
          <w:p w14:paraId="4F0AAB3C" w14:textId="77777777" w:rsidR="00164A77" w:rsidRPr="00575089" w:rsidRDefault="00164A77" w:rsidP="00C179A0">
            <w:pPr>
              <w:contextualSpacing/>
              <w:jc w:val="center"/>
              <w:rPr>
                <w:rFonts w:ascii="Palatino Linotype" w:hAnsi="Palatino Linotype"/>
                <w:sz w:val="18"/>
                <w:szCs w:val="18"/>
              </w:rPr>
            </w:pPr>
            <w:r w:rsidRPr="00575089">
              <w:rPr>
                <w:rFonts w:ascii="Palatino Linotype" w:hAnsi="Palatino Linotype"/>
                <w:sz w:val="18"/>
                <w:szCs w:val="18"/>
              </w:rPr>
              <w:t>1</w:t>
            </w:r>
          </w:p>
        </w:tc>
      </w:tr>
      <w:tr w:rsidR="00164A77" w:rsidRPr="00575089" w14:paraId="565A83F4" w14:textId="77777777" w:rsidTr="00575089">
        <w:trPr>
          <w:jc w:val="center"/>
        </w:trPr>
        <w:tc>
          <w:tcPr>
            <w:tcW w:w="1493" w:type="dxa"/>
            <w:vMerge w:val="restart"/>
            <w:tcBorders>
              <w:top w:val="nil"/>
              <w:left w:val="nil"/>
              <w:bottom w:val="nil"/>
              <w:right w:val="nil"/>
            </w:tcBorders>
            <w:shd w:val="clear" w:color="auto" w:fill="auto"/>
            <w:vAlign w:val="center"/>
          </w:tcPr>
          <w:p w14:paraId="33A66803" w14:textId="77777777" w:rsidR="00164A77" w:rsidRPr="00D97BDA" w:rsidRDefault="00164A77" w:rsidP="00C179A0">
            <w:pPr>
              <w:contextualSpacing/>
              <w:jc w:val="center"/>
              <w:rPr>
                <w:rFonts w:ascii="Palatino Linotype" w:hAnsi="Palatino Linotype"/>
                <w:b/>
                <w:bCs/>
                <w:sz w:val="18"/>
                <w:szCs w:val="18"/>
              </w:rPr>
            </w:pPr>
            <w:r w:rsidRPr="00D97BDA">
              <w:rPr>
                <w:rFonts w:ascii="Palatino Linotype" w:hAnsi="Palatino Linotype"/>
                <w:b/>
                <w:bCs/>
                <w:sz w:val="18"/>
                <w:szCs w:val="18"/>
              </w:rPr>
              <w:t>Gender</w:t>
            </w:r>
          </w:p>
        </w:tc>
        <w:tc>
          <w:tcPr>
            <w:tcW w:w="2327" w:type="dxa"/>
            <w:tcBorders>
              <w:top w:val="nil"/>
              <w:left w:val="nil"/>
              <w:bottom w:val="nil"/>
              <w:right w:val="nil"/>
            </w:tcBorders>
            <w:vAlign w:val="center"/>
          </w:tcPr>
          <w:p w14:paraId="11F0F743" w14:textId="77777777" w:rsidR="00164A77" w:rsidRPr="00575089" w:rsidRDefault="00164A77" w:rsidP="00C179A0">
            <w:pPr>
              <w:contextualSpacing/>
              <w:jc w:val="center"/>
              <w:rPr>
                <w:rFonts w:ascii="Palatino Linotype" w:hAnsi="Palatino Linotype"/>
                <w:sz w:val="18"/>
                <w:szCs w:val="18"/>
              </w:rPr>
            </w:pPr>
            <w:r w:rsidRPr="00575089">
              <w:rPr>
                <w:rFonts w:ascii="Palatino Linotype" w:hAnsi="Palatino Linotype"/>
                <w:sz w:val="18"/>
                <w:szCs w:val="18"/>
              </w:rPr>
              <w:t>Female</w:t>
            </w:r>
          </w:p>
        </w:tc>
        <w:tc>
          <w:tcPr>
            <w:tcW w:w="1417" w:type="dxa"/>
            <w:tcBorders>
              <w:top w:val="nil"/>
              <w:left w:val="nil"/>
              <w:bottom w:val="nil"/>
              <w:right w:val="nil"/>
            </w:tcBorders>
            <w:vAlign w:val="center"/>
          </w:tcPr>
          <w:p w14:paraId="644A7358" w14:textId="77777777" w:rsidR="00164A77" w:rsidRPr="00575089" w:rsidRDefault="00164A77" w:rsidP="00C179A0">
            <w:pPr>
              <w:contextualSpacing/>
              <w:jc w:val="center"/>
              <w:rPr>
                <w:rFonts w:ascii="Palatino Linotype" w:hAnsi="Palatino Linotype"/>
                <w:sz w:val="18"/>
                <w:szCs w:val="18"/>
              </w:rPr>
            </w:pPr>
            <w:r w:rsidRPr="00575089">
              <w:rPr>
                <w:rFonts w:ascii="Palatino Linotype" w:hAnsi="Palatino Linotype"/>
                <w:sz w:val="18"/>
                <w:szCs w:val="18"/>
              </w:rPr>
              <w:t>48</w:t>
            </w:r>
          </w:p>
        </w:tc>
        <w:tc>
          <w:tcPr>
            <w:tcW w:w="1701" w:type="dxa"/>
            <w:tcBorders>
              <w:top w:val="nil"/>
              <w:left w:val="nil"/>
              <w:bottom w:val="nil"/>
              <w:right w:val="nil"/>
            </w:tcBorders>
            <w:vAlign w:val="center"/>
          </w:tcPr>
          <w:p w14:paraId="1737E50B" w14:textId="77777777" w:rsidR="00164A77" w:rsidRPr="00575089" w:rsidRDefault="00164A77" w:rsidP="00C179A0">
            <w:pPr>
              <w:contextualSpacing/>
              <w:jc w:val="center"/>
              <w:rPr>
                <w:rFonts w:ascii="Palatino Linotype" w:hAnsi="Palatino Linotype"/>
                <w:sz w:val="18"/>
                <w:szCs w:val="18"/>
              </w:rPr>
            </w:pPr>
            <w:r w:rsidRPr="00575089">
              <w:rPr>
                <w:rFonts w:ascii="Palatino Linotype" w:hAnsi="Palatino Linotype"/>
                <w:sz w:val="18"/>
                <w:szCs w:val="18"/>
              </w:rPr>
              <w:t>44</w:t>
            </w:r>
          </w:p>
        </w:tc>
      </w:tr>
      <w:tr w:rsidR="00164A77" w:rsidRPr="00575089" w14:paraId="095C462B" w14:textId="77777777" w:rsidTr="00575089">
        <w:trPr>
          <w:jc w:val="center"/>
        </w:trPr>
        <w:tc>
          <w:tcPr>
            <w:tcW w:w="1493" w:type="dxa"/>
            <w:vMerge/>
            <w:tcBorders>
              <w:top w:val="nil"/>
              <w:left w:val="nil"/>
              <w:bottom w:val="nil"/>
              <w:right w:val="nil"/>
            </w:tcBorders>
            <w:shd w:val="clear" w:color="auto" w:fill="auto"/>
            <w:vAlign w:val="center"/>
          </w:tcPr>
          <w:p w14:paraId="698500E1" w14:textId="77777777" w:rsidR="00164A77" w:rsidRPr="00D97BDA" w:rsidRDefault="00164A77" w:rsidP="00C179A0">
            <w:pPr>
              <w:contextualSpacing/>
              <w:jc w:val="center"/>
              <w:rPr>
                <w:rFonts w:ascii="Palatino Linotype" w:hAnsi="Palatino Linotype"/>
                <w:b/>
                <w:bCs/>
                <w:sz w:val="18"/>
                <w:szCs w:val="18"/>
              </w:rPr>
            </w:pPr>
          </w:p>
        </w:tc>
        <w:tc>
          <w:tcPr>
            <w:tcW w:w="2327" w:type="dxa"/>
            <w:tcBorders>
              <w:top w:val="nil"/>
              <w:left w:val="nil"/>
              <w:bottom w:val="nil"/>
              <w:right w:val="nil"/>
            </w:tcBorders>
            <w:vAlign w:val="center"/>
          </w:tcPr>
          <w:p w14:paraId="2E7F9E64" w14:textId="77777777" w:rsidR="00164A77" w:rsidRPr="00575089" w:rsidRDefault="00164A77" w:rsidP="00C179A0">
            <w:pPr>
              <w:contextualSpacing/>
              <w:jc w:val="center"/>
              <w:rPr>
                <w:rFonts w:ascii="Palatino Linotype" w:hAnsi="Palatino Linotype"/>
                <w:sz w:val="18"/>
                <w:szCs w:val="18"/>
              </w:rPr>
            </w:pPr>
            <w:r w:rsidRPr="00575089">
              <w:rPr>
                <w:rFonts w:ascii="Palatino Linotype" w:hAnsi="Palatino Linotype"/>
                <w:sz w:val="18"/>
                <w:szCs w:val="18"/>
              </w:rPr>
              <w:t>Male</w:t>
            </w:r>
          </w:p>
        </w:tc>
        <w:tc>
          <w:tcPr>
            <w:tcW w:w="1417" w:type="dxa"/>
            <w:tcBorders>
              <w:top w:val="nil"/>
              <w:left w:val="nil"/>
              <w:bottom w:val="nil"/>
              <w:right w:val="nil"/>
            </w:tcBorders>
            <w:vAlign w:val="center"/>
          </w:tcPr>
          <w:p w14:paraId="70EC3652" w14:textId="77777777" w:rsidR="00164A77" w:rsidRPr="00575089" w:rsidRDefault="00164A77" w:rsidP="00C179A0">
            <w:pPr>
              <w:contextualSpacing/>
              <w:jc w:val="center"/>
              <w:rPr>
                <w:rFonts w:ascii="Palatino Linotype" w:hAnsi="Palatino Linotype"/>
                <w:sz w:val="18"/>
                <w:szCs w:val="18"/>
              </w:rPr>
            </w:pPr>
            <w:r w:rsidRPr="00575089">
              <w:rPr>
                <w:rFonts w:ascii="Palatino Linotype" w:hAnsi="Palatino Linotype"/>
                <w:sz w:val="18"/>
                <w:szCs w:val="18"/>
              </w:rPr>
              <w:t>37</w:t>
            </w:r>
          </w:p>
        </w:tc>
        <w:tc>
          <w:tcPr>
            <w:tcW w:w="1701" w:type="dxa"/>
            <w:tcBorders>
              <w:top w:val="nil"/>
              <w:left w:val="nil"/>
              <w:bottom w:val="nil"/>
              <w:right w:val="nil"/>
            </w:tcBorders>
            <w:vAlign w:val="center"/>
          </w:tcPr>
          <w:p w14:paraId="30ECD962" w14:textId="77777777" w:rsidR="00164A77" w:rsidRPr="00575089" w:rsidRDefault="00164A77" w:rsidP="00C179A0">
            <w:pPr>
              <w:contextualSpacing/>
              <w:jc w:val="center"/>
              <w:rPr>
                <w:rFonts w:ascii="Palatino Linotype" w:hAnsi="Palatino Linotype"/>
                <w:sz w:val="18"/>
                <w:szCs w:val="18"/>
              </w:rPr>
            </w:pPr>
            <w:r w:rsidRPr="00575089">
              <w:rPr>
                <w:rFonts w:ascii="Palatino Linotype" w:hAnsi="Palatino Linotype"/>
                <w:sz w:val="18"/>
                <w:szCs w:val="18"/>
              </w:rPr>
              <w:t>56</w:t>
            </w:r>
          </w:p>
        </w:tc>
      </w:tr>
      <w:tr w:rsidR="00164A77" w:rsidRPr="00575089" w14:paraId="1D9BB1EF" w14:textId="77777777" w:rsidTr="00575089">
        <w:trPr>
          <w:jc w:val="center"/>
        </w:trPr>
        <w:tc>
          <w:tcPr>
            <w:tcW w:w="1493" w:type="dxa"/>
            <w:vMerge w:val="restart"/>
            <w:tcBorders>
              <w:top w:val="nil"/>
              <w:left w:val="nil"/>
              <w:bottom w:val="nil"/>
              <w:right w:val="nil"/>
            </w:tcBorders>
            <w:vAlign w:val="center"/>
          </w:tcPr>
          <w:p w14:paraId="33FC90A0" w14:textId="77777777" w:rsidR="00164A77" w:rsidRPr="00D97BDA" w:rsidRDefault="00164A77" w:rsidP="00C179A0">
            <w:pPr>
              <w:contextualSpacing/>
              <w:jc w:val="center"/>
              <w:rPr>
                <w:rFonts w:ascii="Palatino Linotype" w:hAnsi="Palatino Linotype"/>
                <w:b/>
                <w:bCs/>
                <w:sz w:val="18"/>
                <w:szCs w:val="18"/>
              </w:rPr>
            </w:pPr>
            <w:r w:rsidRPr="00D97BDA">
              <w:rPr>
                <w:rFonts w:ascii="Palatino Linotype" w:hAnsi="Palatino Linotype"/>
                <w:b/>
                <w:bCs/>
                <w:sz w:val="18"/>
                <w:szCs w:val="18"/>
              </w:rPr>
              <w:t>Level of Education</w:t>
            </w:r>
          </w:p>
        </w:tc>
        <w:tc>
          <w:tcPr>
            <w:tcW w:w="2327" w:type="dxa"/>
            <w:tcBorders>
              <w:top w:val="nil"/>
              <w:left w:val="nil"/>
              <w:bottom w:val="nil"/>
              <w:right w:val="nil"/>
            </w:tcBorders>
            <w:vAlign w:val="center"/>
          </w:tcPr>
          <w:p w14:paraId="7B451C05" w14:textId="77777777" w:rsidR="00164A77" w:rsidRPr="00575089" w:rsidRDefault="00164A77" w:rsidP="00C179A0">
            <w:pPr>
              <w:contextualSpacing/>
              <w:jc w:val="center"/>
              <w:rPr>
                <w:rFonts w:ascii="Palatino Linotype" w:hAnsi="Palatino Linotype"/>
                <w:sz w:val="18"/>
                <w:szCs w:val="18"/>
              </w:rPr>
            </w:pPr>
            <w:r w:rsidRPr="00575089">
              <w:rPr>
                <w:rFonts w:ascii="Palatino Linotype" w:hAnsi="Palatino Linotype"/>
                <w:sz w:val="18"/>
                <w:szCs w:val="18"/>
              </w:rPr>
              <w:t>Diploma</w:t>
            </w:r>
          </w:p>
        </w:tc>
        <w:tc>
          <w:tcPr>
            <w:tcW w:w="1417" w:type="dxa"/>
            <w:tcBorders>
              <w:top w:val="nil"/>
              <w:left w:val="nil"/>
              <w:bottom w:val="nil"/>
              <w:right w:val="nil"/>
            </w:tcBorders>
            <w:vAlign w:val="center"/>
          </w:tcPr>
          <w:p w14:paraId="2550DA1D" w14:textId="77777777" w:rsidR="00164A77" w:rsidRPr="00575089" w:rsidRDefault="00164A77" w:rsidP="00C179A0">
            <w:pPr>
              <w:contextualSpacing/>
              <w:jc w:val="center"/>
              <w:rPr>
                <w:rFonts w:ascii="Palatino Linotype" w:hAnsi="Palatino Linotype"/>
                <w:sz w:val="18"/>
                <w:szCs w:val="18"/>
              </w:rPr>
            </w:pPr>
            <w:r w:rsidRPr="00575089">
              <w:rPr>
                <w:rFonts w:ascii="Palatino Linotype" w:hAnsi="Palatino Linotype"/>
                <w:sz w:val="18"/>
                <w:szCs w:val="18"/>
              </w:rPr>
              <w:t>11</w:t>
            </w:r>
          </w:p>
        </w:tc>
        <w:tc>
          <w:tcPr>
            <w:tcW w:w="1701" w:type="dxa"/>
            <w:tcBorders>
              <w:top w:val="nil"/>
              <w:left w:val="nil"/>
              <w:bottom w:val="nil"/>
              <w:right w:val="nil"/>
            </w:tcBorders>
            <w:vAlign w:val="center"/>
          </w:tcPr>
          <w:p w14:paraId="29CC4C66" w14:textId="77777777" w:rsidR="00164A77" w:rsidRPr="00575089" w:rsidRDefault="00164A77" w:rsidP="00C179A0">
            <w:pPr>
              <w:contextualSpacing/>
              <w:jc w:val="center"/>
              <w:rPr>
                <w:rFonts w:ascii="Palatino Linotype" w:hAnsi="Palatino Linotype"/>
                <w:sz w:val="18"/>
                <w:szCs w:val="18"/>
              </w:rPr>
            </w:pPr>
            <w:r w:rsidRPr="00575089">
              <w:rPr>
                <w:rFonts w:ascii="Palatino Linotype" w:hAnsi="Palatino Linotype"/>
                <w:sz w:val="18"/>
                <w:szCs w:val="18"/>
              </w:rPr>
              <w:t>12</w:t>
            </w:r>
          </w:p>
        </w:tc>
      </w:tr>
      <w:tr w:rsidR="00164A77" w:rsidRPr="00575089" w14:paraId="1E498424" w14:textId="77777777" w:rsidTr="00575089">
        <w:trPr>
          <w:jc w:val="center"/>
        </w:trPr>
        <w:tc>
          <w:tcPr>
            <w:tcW w:w="1493" w:type="dxa"/>
            <w:vMerge/>
            <w:tcBorders>
              <w:top w:val="nil"/>
              <w:left w:val="nil"/>
              <w:bottom w:val="nil"/>
              <w:right w:val="nil"/>
            </w:tcBorders>
          </w:tcPr>
          <w:p w14:paraId="7905DF3C" w14:textId="77777777" w:rsidR="00164A77" w:rsidRPr="00575089" w:rsidRDefault="00164A77" w:rsidP="00C179A0">
            <w:pPr>
              <w:contextualSpacing/>
              <w:rPr>
                <w:rFonts w:ascii="Palatino Linotype" w:hAnsi="Palatino Linotype"/>
                <w:sz w:val="18"/>
                <w:szCs w:val="18"/>
              </w:rPr>
            </w:pPr>
          </w:p>
        </w:tc>
        <w:tc>
          <w:tcPr>
            <w:tcW w:w="2327" w:type="dxa"/>
            <w:tcBorders>
              <w:top w:val="nil"/>
              <w:left w:val="nil"/>
              <w:bottom w:val="nil"/>
              <w:right w:val="nil"/>
            </w:tcBorders>
            <w:vAlign w:val="center"/>
          </w:tcPr>
          <w:p w14:paraId="7151F096" w14:textId="77777777" w:rsidR="00164A77" w:rsidRPr="00575089" w:rsidRDefault="00164A77" w:rsidP="00C179A0">
            <w:pPr>
              <w:contextualSpacing/>
              <w:jc w:val="center"/>
              <w:rPr>
                <w:rFonts w:ascii="Palatino Linotype" w:hAnsi="Palatino Linotype"/>
                <w:sz w:val="18"/>
                <w:szCs w:val="18"/>
              </w:rPr>
            </w:pPr>
            <w:r w:rsidRPr="00575089">
              <w:rPr>
                <w:rFonts w:ascii="Palatino Linotype" w:hAnsi="Palatino Linotype"/>
                <w:sz w:val="18"/>
                <w:szCs w:val="18"/>
              </w:rPr>
              <w:t>Bachelor</w:t>
            </w:r>
          </w:p>
        </w:tc>
        <w:tc>
          <w:tcPr>
            <w:tcW w:w="1417" w:type="dxa"/>
            <w:tcBorders>
              <w:top w:val="nil"/>
              <w:left w:val="nil"/>
              <w:bottom w:val="nil"/>
              <w:right w:val="nil"/>
            </w:tcBorders>
            <w:vAlign w:val="center"/>
          </w:tcPr>
          <w:p w14:paraId="6F87AAFE" w14:textId="77777777" w:rsidR="00164A77" w:rsidRPr="00575089" w:rsidRDefault="00164A77" w:rsidP="00C179A0">
            <w:pPr>
              <w:contextualSpacing/>
              <w:jc w:val="center"/>
              <w:rPr>
                <w:rFonts w:ascii="Palatino Linotype" w:hAnsi="Palatino Linotype"/>
                <w:sz w:val="18"/>
                <w:szCs w:val="18"/>
              </w:rPr>
            </w:pPr>
            <w:r w:rsidRPr="00575089">
              <w:rPr>
                <w:rFonts w:ascii="Palatino Linotype" w:hAnsi="Palatino Linotype"/>
                <w:sz w:val="18"/>
                <w:szCs w:val="18"/>
              </w:rPr>
              <w:t>69</w:t>
            </w:r>
          </w:p>
        </w:tc>
        <w:tc>
          <w:tcPr>
            <w:tcW w:w="1701" w:type="dxa"/>
            <w:tcBorders>
              <w:top w:val="nil"/>
              <w:left w:val="nil"/>
              <w:bottom w:val="nil"/>
              <w:right w:val="nil"/>
            </w:tcBorders>
            <w:vAlign w:val="center"/>
          </w:tcPr>
          <w:p w14:paraId="42B7BFE5" w14:textId="77777777" w:rsidR="00164A77" w:rsidRPr="00575089" w:rsidRDefault="00164A77" w:rsidP="00C179A0">
            <w:pPr>
              <w:contextualSpacing/>
              <w:jc w:val="center"/>
              <w:rPr>
                <w:rFonts w:ascii="Palatino Linotype" w:hAnsi="Palatino Linotype"/>
                <w:sz w:val="18"/>
                <w:szCs w:val="18"/>
              </w:rPr>
            </w:pPr>
            <w:r w:rsidRPr="00575089">
              <w:rPr>
                <w:rFonts w:ascii="Palatino Linotype" w:hAnsi="Palatino Linotype"/>
                <w:sz w:val="18"/>
                <w:szCs w:val="18"/>
              </w:rPr>
              <w:t>82</w:t>
            </w:r>
          </w:p>
        </w:tc>
      </w:tr>
      <w:tr w:rsidR="00164A77" w:rsidRPr="00575089" w14:paraId="2877D2C3" w14:textId="77777777" w:rsidTr="00575089">
        <w:trPr>
          <w:jc w:val="center"/>
        </w:trPr>
        <w:tc>
          <w:tcPr>
            <w:tcW w:w="1493" w:type="dxa"/>
            <w:vMerge/>
            <w:tcBorders>
              <w:top w:val="nil"/>
              <w:left w:val="nil"/>
              <w:bottom w:val="single" w:sz="4" w:space="0" w:color="auto"/>
              <w:right w:val="nil"/>
            </w:tcBorders>
          </w:tcPr>
          <w:p w14:paraId="055F2BA7" w14:textId="77777777" w:rsidR="00164A77" w:rsidRPr="00575089" w:rsidRDefault="00164A77" w:rsidP="00C179A0">
            <w:pPr>
              <w:contextualSpacing/>
              <w:rPr>
                <w:rFonts w:ascii="Palatino Linotype" w:hAnsi="Palatino Linotype"/>
                <w:sz w:val="18"/>
                <w:szCs w:val="18"/>
              </w:rPr>
            </w:pPr>
          </w:p>
        </w:tc>
        <w:tc>
          <w:tcPr>
            <w:tcW w:w="2327" w:type="dxa"/>
            <w:tcBorders>
              <w:top w:val="nil"/>
              <w:left w:val="nil"/>
              <w:bottom w:val="single" w:sz="4" w:space="0" w:color="auto"/>
              <w:right w:val="nil"/>
            </w:tcBorders>
            <w:vAlign w:val="center"/>
          </w:tcPr>
          <w:p w14:paraId="2F1A5F97" w14:textId="77777777" w:rsidR="00164A77" w:rsidRPr="00575089" w:rsidRDefault="00164A77" w:rsidP="00C179A0">
            <w:pPr>
              <w:contextualSpacing/>
              <w:jc w:val="center"/>
              <w:rPr>
                <w:rFonts w:ascii="Palatino Linotype" w:hAnsi="Palatino Linotype"/>
                <w:sz w:val="18"/>
                <w:szCs w:val="18"/>
              </w:rPr>
            </w:pPr>
            <w:r w:rsidRPr="00575089">
              <w:rPr>
                <w:rFonts w:ascii="Palatino Linotype" w:hAnsi="Palatino Linotype"/>
                <w:sz w:val="18"/>
                <w:szCs w:val="18"/>
              </w:rPr>
              <w:t>Master</w:t>
            </w:r>
          </w:p>
        </w:tc>
        <w:tc>
          <w:tcPr>
            <w:tcW w:w="1417" w:type="dxa"/>
            <w:tcBorders>
              <w:top w:val="nil"/>
              <w:left w:val="nil"/>
              <w:bottom w:val="single" w:sz="4" w:space="0" w:color="auto"/>
              <w:right w:val="nil"/>
            </w:tcBorders>
            <w:vAlign w:val="center"/>
          </w:tcPr>
          <w:p w14:paraId="21D1E6FE" w14:textId="77777777" w:rsidR="00164A77" w:rsidRPr="00575089" w:rsidRDefault="00164A77" w:rsidP="00C179A0">
            <w:pPr>
              <w:contextualSpacing/>
              <w:jc w:val="center"/>
              <w:rPr>
                <w:rFonts w:ascii="Palatino Linotype" w:hAnsi="Palatino Linotype"/>
                <w:sz w:val="18"/>
                <w:szCs w:val="18"/>
              </w:rPr>
            </w:pPr>
            <w:r w:rsidRPr="00575089">
              <w:rPr>
                <w:rFonts w:ascii="Palatino Linotype" w:hAnsi="Palatino Linotype"/>
                <w:sz w:val="18"/>
                <w:szCs w:val="18"/>
              </w:rPr>
              <w:t>5</w:t>
            </w:r>
          </w:p>
        </w:tc>
        <w:tc>
          <w:tcPr>
            <w:tcW w:w="1701" w:type="dxa"/>
            <w:tcBorders>
              <w:top w:val="nil"/>
              <w:left w:val="nil"/>
              <w:bottom w:val="single" w:sz="4" w:space="0" w:color="auto"/>
              <w:right w:val="nil"/>
            </w:tcBorders>
            <w:vAlign w:val="center"/>
          </w:tcPr>
          <w:p w14:paraId="0C976E86" w14:textId="77777777" w:rsidR="00164A77" w:rsidRPr="00575089" w:rsidRDefault="00164A77" w:rsidP="00C179A0">
            <w:pPr>
              <w:contextualSpacing/>
              <w:jc w:val="center"/>
              <w:rPr>
                <w:rFonts w:ascii="Palatino Linotype" w:hAnsi="Palatino Linotype"/>
                <w:sz w:val="18"/>
                <w:szCs w:val="18"/>
              </w:rPr>
            </w:pPr>
            <w:r w:rsidRPr="00575089">
              <w:rPr>
                <w:rFonts w:ascii="Palatino Linotype" w:hAnsi="Palatino Linotype"/>
                <w:sz w:val="18"/>
                <w:szCs w:val="18"/>
              </w:rPr>
              <w:t>6</w:t>
            </w:r>
          </w:p>
        </w:tc>
      </w:tr>
    </w:tbl>
    <w:p w14:paraId="3C325D9F" w14:textId="045BC3AC" w:rsidR="00F96A34" w:rsidRPr="00575089" w:rsidRDefault="00575089" w:rsidP="00575089">
      <w:pPr>
        <w:pStyle w:val="Subsubjudul"/>
        <w:spacing w:line="240" w:lineRule="auto"/>
        <w:ind w:left="567" w:hanging="567"/>
        <w:rPr>
          <w:i w:val="0"/>
          <w:iCs/>
          <w:color w:val="000000" w:themeColor="text1"/>
          <w:lang w:val="en-ID"/>
        </w:rPr>
      </w:pPr>
      <w:r w:rsidRPr="00575089">
        <w:rPr>
          <w:i w:val="0"/>
          <w:iCs/>
        </w:rPr>
        <w:t xml:space="preserve">The </w:t>
      </w:r>
      <w:r w:rsidR="0046419A">
        <w:rPr>
          <w:i w:val="0"/>
          <w:iCs/>
          <w:lang w:val="en-ID"/>
        </w:rPr>
        <w:t>Calculation</w:t>
      </w:r>
      <w:r w:rsidRPr="00575089">
        <w:rPr>
          <w:i w:val="0"/>
          <w:iCs/>
        </w:rPr>
        <w:t xml:space="preserve"> </w:t>
      </w:r>
      <w:proofErr w:type="spellStart"/>
      <w:r w:rsidRPr="00575089">
        <w:rPr>
          <w:i w:val="0"/>
          <w:iCs/>
        </w:rPr>
        <w:t>of</w:t>
      </w:r>
      <w:proofErr w:type="spellEnd"/>
      <w:r w:rsidRPr="00575089">
        <w:rPr>
          <w:i w:val="0"/>
          <w:iCs/>
        </w:rPr>
        <w:t xml:space="preserve"> </w:t>
      </w:r>
      <w:proofErr w:type="spellStart"/>
      <w:r w:rsidRPr="00575089">
        <w:rPr>
          <w:i w:val="0"/>
          <w:iCs/>
        </w:rPr>
        <w:t>Measurement</w:t>
      </w:r>
      <w:proofErr w:type="spellEnd"/>
      <w:r w:rsidRPr="00575089">
        <w:rPr>
          <w:i w:val="0"/>
          <w:iCs/>
        </w:rPr>
        <w:t xml:space="preserve"> Model</w:t>
      </w:r>
    </w:p>
    <w:p w14:paraId="77C38481" w14:textId="23505BC8" w:rsidR="00575089" w:rsidRPr="00575089" w:rsidRDefault="006428F9" w:rsidP="00575089">
      <w:pPr>
        <w:pStyle w:val="SubJudul"/>
        <w:numPr>
          <w:ilvl w:val="0"/>
          <w:numId w:val="0"/>
        </w:numPr>
        <w:rPr>
          <w:b w:val="0"/>
          <w:bCs/>
        </w:rPr>
      </w:pPr>
      <w:r w:rsidRPr="006428F9">
        <w:rPr>
          <w:b w:val="0"/>
          <w:bCs/>
        </w:rPr>
        <w:t>The model's calculation can be done by testing the inner and outer models derived from the PLS algorithm. The outer model can be investigated by observing Composite Reliability (CR), Convergent Validity, and Discriminant Validity. According to</w:t>
      </w:r>
      <w:r w:rsidR="00575089" w:rsidRPr="00575089">
        <w:rPr>
          <w:b w:val="0"/>
          <w:bCs/>
        </w:rPr>
        <w:t xml:space="preserve"> </w:t>
      </w:r>
      <w:r w:rsidR="00575089" w:rsidRPr="00575089">
        <w:rPr>
          <w:b w:val="0"/>
          <w:bCs/>
        </w:rPr>
        <w:fldChar w:fldCharType="begin" w:fldLock="1"/>
      </w:r>
      <w:r w:rsidR="00310DED">
        <w:rPr>
          <w:b w:val="0"/>
          <w:bCs/>
        </w:rPr>
        <w:instrText>ADDIN CSL_CITATION {"citationItems":[{"id":"ITEM-1","itemData":{"DOI":"10.1016/j.jbusres.2019.11.069","ISSN":"01482963","abstract":"Confirmatory factor analysis (CFA) has historically been used to develop and improve reflectively measured constructs based on the domain sampling model. Compared to CFA, confirmatory composite analysis (CCA) is a recently proposed alternative approach applied to confirm measurement models when using partial least squares structural equation modeling (PLS-SEM). CCA is a series of steps executed with PLS-SEM to confirm both reflective and formative measurement models of established measures that are being updated or adapted to a different context. CCA is also useful for developing new measures. Finally, CCA offers several advantages over other approaches for confirming measurement models consisting of linear composites.","author":[{"dropping-particle":"","family":"Hair","given":"Joe F.","non-dropping-particle":"","parse-names":false,"suffix":""},{"dropping-particle":"","family":"Howard","given":"Matthew C.","non-dropping-particle":"","parse-names":false,"suffix":""},{"dropping-particle":"","family":"Nitzl","given":"Christian","non-dropping-particle":"","parse-names":false,"suffix":""}],"container-title":"Journal of Business Research","id":"ITEM-1","issue":"November 2019","issued":{"date-parts":[["2020"]]},"page":"101-110","publisher":"Elsevier","title":"Assessing measurement model quality in PLS-SEM using confirmatory composite analysis","type":"article-journal","volume":"109"},"uris":["http://www.mendeley.com/documents/?uuid=9df6df92-8a65-41a5-96bf-8800f9f084bd"]}],"mendeley":{"formattedCitation":"[33]","plainTextFormattedCitation":"[33]","previouslyFormattedCitation":"[33]"},"properties":{"noteIndex":0},"schema":"https://github.com/citation-style-language/schema/raw/master/csl-citation.json"}</w:instrText>
      </w:r>
      <w:r w:rsidR="00575089" w:rsidRPr="00575089">
        <w:rPr>
          <w:b w:val="0"/>
          <w:bCs/>
        </w:rPr>
        <w:fldChar w:fldCharType="separate"/>
      </w:r>
      <w:r w:rsidR="00227A76" w:rsidRPr="00227A76">
        <w:rPr>
          <w:b w:val="0"/>
          <w:bCs/>
          <w:noProof/>
        </w:rPr>
        <w:t>[33]</w:t>
      </w:r>
      <w:r w:rsidR="00575089" w:rsidRPr="00575089">
        <w:rPr>
          <w:b w:val="0"/>
          <w:bCs/>
        </w:rPr>
        <w:fldChar w:fldCharType="end"/>
      </w:r>
      <w:r w:rsidR="00575089" w:rsidRPr="00575089">
        <w:rPr>
          <w:b w:val="0"/>
          <w:bCs/>
        </w:rPr>
        <w:t xml:space="preserve"> </w:t>
      </w:r>
      <w:r w:rsidRPr="006428F9">
        <w:rPr>
          <w:b w:val="0"/>
          <w:bCs/>
        </w:rPr>
        <w:t xml:space="preserve">convergent validity can be </w:t>
      </w:r>
      <w:r w:rsidR="00D97BDA">
        <w:rPr>
          <w:b w:val="0"/>
          <w:bCs/>
        </w:rPr>
        <w:t>quantified</w:t>
      </w:r>
      <w:r w:rsidRPr="006428F9">
        <w:rPr>
          <w:b w:val="0"/>
          <w:bCs/>
        </w:rPr>
        <w:t xml:space="preserve"> from the Average Variance Extracted (AVE) value, which is the average of the reliability of a construct and the loading factor. The research model is considered to pass the convergent validity evaluation if the AVE square root value is more than 0.50 and the loading factor value is more than 0.70. If there are indicators that do not meet the value limit, they must be eliminated. In this study, the convergent validity test results were 24 indicators had a loading factor value greater than 0.70 and 6 constructs had an AVE root value greater than 0.50, so no indicators were eliminated at this testing stage. The AVE root values ​​and loading factors are presented in Table 3.</w:t>
      </w:r>
    </w:p>
    <w:p w14:paraId="22BF4A44" w14:textId="4DA290FC" w:rsidR="00575089" w:rsidRDefault="007F0ABF" w:rsidP="0031699D">
      <w:pPr>
        <w:pStyle w:val="SubJudul"/>
        <w:numPr>
          <w:ilvl w:val="0"/>
          <w:numId w:val="0"/>
        </w:numPr>
        <w:ind w:firstLine="567"/>
        <w:rPr>
          <w:b w:val="0"/>
          <w:bCs/>
        </w:rPr>
      </w:pPr>
      <w:r w:rsidRPr="007F0ABF">
        <w:rPr>
          <w:b w:val="0"/>
          <w:bCs/>
        </w:rPr>
        <w:t>Discriminant validity can be measured using the value of the inter-construct correlations, which indicates that each indicator has a higher correlation value for its theoretical construct than for other constructs</w:t>
      </w:r>
      <w:r w:rsidR="00575089" w:rsidRPr="00575089">
        <w:rPr>
          <w:b w:val="0"/>
          <w:bCs/>
        </w:rPr>
        <w:t xml:space="preserve"> </w:t>
      </w:r>
      <w:r w:rsidR="00575089" w:rsidRPr="00575089">
        <w:rPr>
          <w:b w:val="0"/>
          <w:bCs/>
        </w:rPr>
        <w:fldChar w:fldCharType="begin" w:fldLock="1"/>
      </w:r>
      <w:r w:rsidR="00310DED">
        <w:rPr>
          <w:b w:val="0"/>
          <w:bCs/>
        </w:rPr>
        <w:instrText>ADDIN CSL_CITATION {"citationItems":[{"id":"ITEM-1","itemData":{"DOI":"10.1504/ijbis.2020.10015622","ISSN":"1746-0972","author":[{"dropping-particle":"","family":"Wirani","given":"Yekti","non-dropping-particle":"","parse-names":false,"suffix":""},{"dropping-particle":"","family":"Hidayanto","given":"Achmad Nizar","non-dropping-particle":"","parse-names":false,"suffix":""},{"dropping-particle":"","family":"Shihab","given":"Muhammad Rifki","non-dropping-particle":"","parse-names":false,"suffix":""}],"container-title":"International Journal of Business Information Systems","id":"ITEM-1","issue":"1","issued":{"date-parts":[["2020"]]},"page":"1","title":"Factors Affecting Acceptance of Internet Banking With Technology-Organization-Environment Framework: A Perspective of Corporate Customers in Indonesia","type":"article-journal","volume":"35"},"uris":["http://www.mendeley.com/documents/?uuid=cbe6a6bf-bde4-408f-89c5-209c8668f791"]}],"mendeley":{"formattedCitation":"[34]","plainTextFormattedCitation":"[34]","previouslyFormattedCitation":"[34]"},"properties":{"noteIndex":0},"schema":"https://github.com/citation-style-language/schema/raw/master/csl-citation.json"}</w:instrText>
      </w:r>
      <w:r w:rsidR="00575089" w:rsidRPr="00575089">
        <w:rPr>
          <w:b w:val="0"/>
          <w:bCs/>
        </w:rPr>
        <w:fldChar w:fldCharType="separate"/>
      </w:r>
      <w:r w:rsidR="00227A76" w:rsidRPr="00227A76">
        <w:rPr>
          <w:b w:val="0"/>
          <w:bCs/>
          <w:noProof/>
        </w:rPr>
        <w:t>[34]</w:t>
      </w:r>
      <w:r w:rsidR="00575089" w:rsidRPr="00575089">
        <w:rPr>
          <w:b w:val="0"/>
          <w:bCs/>
        </w:rPr>
        <w:fldChar w:fldCharType="end"/>
      </w:r>
      <w:r w:rsidR="00575089" w:rsidRPr="00575089">
        <w:rPr>
          <w:b w:val="0"/>
          <w:bCs/>
        </w:rPr>
        <w:t xml:space="preserve">. </w:t>
      </w:r>
      <w:r w:rsidRPr="007F0ABF">
        <w:rPr>
          <w:b w:val="0"/>
          <w:bCs/>
        </w:rPr>
        <w:t>Based on the results of the discriminant validity results, all indicators have a higher correlation value for their theoretical constructs than other constructs. The results of this test state that the indicators are appropriate and have specificities with their theoretical constructs. Next is the test on construct reliability, which can be done by observing the CR and Cronbach Alpha (CA) values</w:t>
      </w:r>
      <w:r w:rsidR="00575089" w:rsidRPr="00575089">
        <w:rPr>
          <w:b w:val="0"/>
          <w:bCs/>
        </w:rPr>
        <w:t xml:space="preserve">. Based on </w:t>
      </w:r>
      <w:r w:rsidR="00575089" w:rsidRPr="00575089">
        <w:rPr>
          <w:b w:val="0"/>
          <w:bCs/>
        </w:rPr>
        <w:fldChar w:fldCharType="begin" w:fldLock="1"/>
      </w:r>
      <w:r w:rsidR="00310DED">
        <w:rPr>
          <w:b w:val="0"/>
          <w:bCs/>
        </w:rPr>
        <w:instrText>ADDIN CSL_CITATION {"citationItems":[{"id":"ITEM-1","itemData":{"DOI":"10.1109/ICITSI.2018.8696047","ISBN":"9781538656938","abstract":"The emergence of digital economy has motivated PT Telkom Indonesia to launch SOBAT-UKM portal. It aims to support Small and Medium Enterprises (SMEs) in Indonesia. The portal has an e-consultation feature, which provides online business discussion between business experts and the SMEs. Despite its significant benefits, the utilization of e-consultation feature only reached 10.54% of the yearly target set by PT Telkom. To address this problem, a study was conducted to investigate factors affecting the low users' acceptance. The Unified Theory of Acceptance and Use of Technology (UTAUT) was used to construct the research model and a questionnaire for data collection. The data were analyzed with Partial Least Square-Structural Equation Modeling (PLS-SEM). The results indicate that the influencing factors are Social Influence, Effort Expectancy, Facilitating Conditions, User Behavior, and Behavioral Intention.","author":[{"dropping-particle":"","family":"Sari","given":"Yunia Mandala","non-dropping-particle":"","parse-names":false,"suffix":""},{"dropping-particle":"","family":"Purwandari","given":"Betty","non-dropping-particle":"","parse-names":false,"suffix":""},{"dropping-particle":"","family":"Satria","given":"Riri","non-dropping-particle":"","parse-names":false,"suffix":""},{"dropping-particle":"","family":"Wirani","given":"Yekti","non-dropping-particle":"","parse-names":false,"suffix":""},{"dropping-particle":"","family":"Solichah","given":"Iis","non-dropping-particle":"","parse-names":false,"suffix":""},{"dropping-particle":"","family":"Nastiti","given":"Tashia Indah","non-dropping-particle":"","parse-names":false,"suffix":""}],"container-title":"2018 International Conference on Information Technology Systems and Innovation, ICITSI 2018 - Proceedings","id":"ITEM-1","issued":{"date-parts":[["2018"]]},"page":"278-283","publisher":"IEEE","title":"Factors Influencing Users Acceptance of Online Consultation Feature on the SOBAT-UKM Portal","type":"article-journal"},"uris":["http://www.mendeley.com/documents/?uuid=0d45f937-2e91-4b1e-a160-3e5d92f295d6"]}],"mendeley":{"formattedCitation":"[35]","plainTextFormattedCitation":"[35]","previouslyFormattedCitation":"[35]"},"properties":{"noteIndex":0},"schema":"https://github.com/citation-style-language/schema/raw/master/csl-citation.json"}</w:instrText>
      </w:r>
      <w:r w:rsidR="00575089" w:rsidRPr="00575089">
        <w:rPr>
          <w:b w:val="0"/>
          <w:bCs/>
        </w:rPr>
        <w:fldChar w:fldCharType="separate"/>
      </w:r>
      <w:r w:rsidR="00227A76" w:rsidRPr="00227A76">
        <w:rPr>
          <w:b w:val="0"/>
          <w:bCs/>
          <w:noProof/>
        </w:rPr>
        <w:t>[35]</w:t>
      </w:r>
      <w:r w:rsidR="00575089" w:rsidRPr="00575089">
        <w:rPr>
          <w:b w:val="0"/>
          <w:bCs/>
        </w:rPr>
        <w:fldChar w:fldCharType="end"/>
      </w:r>
      <w:r w:rsidR="00575089" w:rsidRPr="00575089">
        <w:rPr>
          <w:b w:val="0"/>
          <w:bCs/>
        </w:rPr>
        <w:t xml:space="preserve">, the research model is considered to pass the construct reliability </w:t>
      </w:r>
      <w:r w:rsidR="00C46C98">
        <w:rPr>
          <w:b w:val="0"/>
          <w:bCs/>
        </w:rPr>
        <w:t>evaluation</w:t>
      </w:r>
      <w:r w:rsidR="00575089" w:rsidRPr="00575089">
        <w:rPr>
          <w:b w:val="0"/>
          <w:bCs/>
        </w:rPr>
        <w:t xml:space="preserve"> if the value is greater than 0.70. This test's results stated that the research model passed the construct reliability test because the CR and CA values ​​were greater than 0.70. The values ​​of CA and CR are </w:t>
      </w:r>
      <w:r w:rsidR="00C46C98">
        <w:rPr>
          <w:b w:val="0"/>
          <w:bCs/>
        </w:rPr>
        <w:t>presented</w:t>
      </w:r>
      <w:r w:rsidR="00575089" w:rsidRPr="00575089">
        <w:rPr>
          <w:b w:val="0"/>
          <w:bCs/>
        </w:rPr>
        <w:t xml:space="preserve"> in Table 3.</w:t>
      </w:r>
    </w:p>
    <w:p w14:paraId="1F90E0DB" w14:textId="77777777" w:rsidR="00575089" w:rsidRPr="00575089" w:rsidRDefault="00575089" w:rsidP="00575089">
      <w:pPr>
        <w:pStyle w:val="SubJudul"/>
        <w:numPr>
          <w:ilvl w:val="0"/>
          <w:numId w:val="0"/>
        </w:numPr>
        <w:ind w:left="720"/>
        <w:jc w:val="center"/>
        <w:rPr>
          <w:b w:val="0"/>
          <w:bCs/>
          <w:sz w:val="18"/>
          <w:szCs w:val="18"/>
        </w:rPr>
      </w:pPr>
      <w:r w:rsidRPr="00575089">
        <w:rPr>
          <w:b w:val="0"/>
          <w:bCs/>
          <w:sz w:val="18"/>
          <w:szCs w:val="18"/>
        </w:rPr>
        <w:t>Table 3. The Results of Outer Model Evaluation</w:t>
      </w:r>
    </w:p>
    <w:tbl>
      <w:tblPr>
        <w:tblW w:w="7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6"/>
        <w:gridCol w:w="1433"/>
        <w:gridCol w:w="1644"/>
        <w:gridCol w:w="1034"/>
        <w:gridCol w:w="1134"/>
        <w:gridCol w:w="1134"/>
      </w:tblGrid>
      <w:tr w:rsidR="00575089" w:rsidRPr="00575089" w14:paraId="487EA740" w14:textId="77777777" w:rsidTr="006423CD">
        <w:trPr>
          <w:jc w:val="center"/>
        </w:trPr>
        <w:tc>
          <w:tcPr>
            <w:tcW w:w="1306" w:type="dxa"/>
            <w:tcBorders>
              <w:top w:val="single" w:sz="4" w:space="0" w:color="auto"/>
              <w:left w:val="nil"/>
              <w:bottom w:val="single" w:sz="4" w:space="0" w:color="auto"/>
              <w:right w:val="nil"/>
            </w:tcBorders>
            <w:vAlign w:val="center"/>
          </w:tcPr>
          <w:p w14:paraId="1D0D5E12" w14:textId="77777777" w:rsidR="00575089" w:rsidRPr="00575089" w:rsidRDefault="00575089" w:rsidP="00C179A0">
            <w:pPr>
              <w:contextualSpacing/>
              <w:jc w:val="center"/>
              <w:rPr>
                <w:rFonts w:ascii="Palatino Linotype" w:hAnsi="Palatino Linotype"/>
                <w:b/>
                <w:sz w:val="18"/>
                <w:szCs w:val="18"/>
              </w:rPr>
            </w:pPr>
            <w:r w:rsidRPr="00575089">
              <w:rPr>
                <w:rFonts w:ascii="Palatino Linotype" w:hAnsi="Palatino Linotype"/>
                <w:b/>
                <w:sz w:val="18"/>
                <w:szCs w:val="18"/>
              </w:rPr>
              <w:t>Construct</w:t>
            </w:r>
          </w:p>
        </w:tc>
        <w:tc>
          <w:tcPr>
            <w:tcW w:w="1433" w:type="dxa"/>
            <w:tcBorders>
              <w:top w:val="single" w:sz="4" w:space="0" w:color="auto"/>
              <w:left w:val="nil"/>
              <w:bottom w:val="single" w:sz="4" w:space="0" w:color="auto"/>
              <w:right w:val="nil"/>
            </w:tcBorders>
            <w:vAlign w:val="center"/>
          </w:tcPr>
          <w:p w14:paraId="24DE92AF" w14:textId="77777777" w:rsidR="00575089" w:rsidRPr="00575089" w:rsidRDefault="00575089" w:rsidP="00C179A0">
            <w:pPr>
              <w:contextualSpacing/>
              <w:jc w:val="center"/>
              <w:rPr>
                <w:rFonts w:ascii="Palatino Linotype" w:hAnsi="Palatino Linotype"/>
                <w:b/>
                <w:sz w:val="18"/>
                <w:szCs w:val="18"/>
              </w:rPr>
            </w:pPr>
            <w:r w:rsidRPr="00575089">
              <w:rPr>
                <w:rFonts w:ascii="Palatino Linotype" w:hAnsi="Palatino Linotype"/>
                <w:b/>
                <w:sz w:val="18"/>
                <w:szCs w:val="18"/>
              </w:rPr>
              <w:t>Indicator</w:t>
            </w:r>
          </w:p>
        </w:tc>
        <w:tc>
          <w:tcPr>
            <w:tcW w:w="1644" w:type="dxa"/>
            <w:tcBorders>
              <w:top w:val="single" w:sz="4" w:space="0" w:color="auto"/>
              <w:left w:val="nil"/>
              <w:bottom w:val="single" w:sz="4" w:space="0" w:color="auto"/>
              <w:right w:val="nil"/>
            </w:tcBorders>
            <w:vAlign w:val="center"/>
          </w:tcPr>
          <w:p w14:paraId="09AE1B9E" w14:textId="77777777" w:rsidR="00575089" w:rsidRPr="00575089" w:rsidRDefault="00575089" w:rsidP="00C179A0">
            <w:pPr>
              <w:contextualSpacing/>
              <w:jc w:val="center"/>
              <w:rPr>
                <w:rFonts w:ascii="Palatino Linotype" w:hAnsi="Palatino Linotype"/>
                <w:b/>
                <w:iCs/>
                <w:sz w:val="18"/>
                <w:szCs w:val="18"/>
              </w:rPr>
            </w:pPr>
            <w:r w:rsidRPr="00575089">
              <w:rPr>
                <w:rFonts w:ascii="Palatino Linotype" w:hAnsi="Palatino Linotype"/>
                <w:b/>
                <w:iCs/>
                <w:sz w:val="18"/>
                <w:szCs w:val="18"/>
              </w:rPr>
              <w:t>Loading Factor</w:t>
            </w:r>
          </w:p>
        </w:tc>
        <w:tc>
          <w:tcPr>
            <w:tcW w:w="1034" w:type="dxa"/>
            <w:tcBorders>
              <w:top w:val="single" w:sz="4" w:space="0" w:color="auto"/>
              <w:left w:val="nil"/>
              <w:bottom w:val="single" w:sz="4" w:space="0" w:color="auto"/>
              <w:right w:val="nil"/>
            </w:tcBorders>
            <w:vAlign w:val="center"/>
          </w:tcPr>
          <w:p w14:paraId="77664048" w14:textId="77777777" w:rsidR="00575089" w:rsidRPr="00575089" w:rsidRDefault="00575089" w:rsidP="00C179A0">
            <w:pPr>
              <w:contextualSpacing/>
              <w:jc w:val="center"/>
              <w:rPr>
                <w:rFonts w:ascii="Palatino Linotype" w:hAnsi="Palatino Linotype"/>
                <w:b/>
                <w:sz w:val="18"/>
                <w:szCs w:val="18"/>
              </w:rPr>
            </w:pPr>
            <w:r w:rsidRPr="00575089">
              <w:rPr>
                <w:rFonts w:ascii="Palatino Linotype" w:hAnsi="Palatino Linotype"/>
                <w:b/>
                <w:sz w:val="18"/>
                <w:szCs w:val="18"/>
                <w:lang w:val="en-ID"/>
              </w:rPr>
              <w:t>√AVE</w:t>
            </w:r>
          </w:p>
        </w:tc>
        <w:tc>
          <w:tcPr>
            <w:tcW w:w="1134" w:type="dxa"/>
            <w:tcBorders>
              <w:top w:val="single" w:sz="4" w:space="0" w:color="auto"/>
              <w:left w:val="nil"/>
              <w:bottom w:val="single" w:sz="4" w:space="0" w:color="auto"/>
              <w:right w:val="nil"/>
            </w:tcBorders>
            <w:vAlign w:val="center"/>
          </w:tcPr>
          <w:p w14:paraId="28BCF9BA" w14:textId="77777777" w:rsidR="00575089" w:rsidRPr="00575089" w:rsidRDefault="00575089" w:rsidP="00C179A0">
            <w:pPr>
              <w:contextualSpacing/>
              <w:jc w:val="center"/>
              <w:rPr>
                <w:rFonts w:ascii="Palatino Linotype" w:hAnsi="Palatino Linotype"/>
                <w:b/>
                <w:sz w:val="18"/>
                <w:szCs w:val="18"/>
                <w:lang w:val="en-ID"/>
              </w:rPr>
            </w:pPr>
            <w:r w:rsidRPr="00575089">
              <w:rPr>
                <w:rFonts w:ascii="Palatino Linotype" w:hAnsi="Palatino Linotype"/>
                <w:b/>
                <w:sz w:val="18"/>
                <w:szCs w:val="18"/>
                <w:lang w:val="en-ID"/>
              </w:rPr>
              <w:t>CA</w:t>
            </w:r>
          </w:p>
        </w:tc>
        <w:tc>
          <w:tcPr>
            <w:tcW w:w="1134" w:type="dxa"/>
            <w:tcBorders>
              <w:top w:val="single" w:sz="4" w:space="0" w:color="auto"/>
              <w:left w:val="nil"/>
              <w:bottom w:val="single" w:sz="4" w:space="0" w:color="auto"/>
              <w:right w:val="nil"/>
            </w:tcBorders>
            <w:vAlign w:val="center"/>
          </w:tcPr>
          <w:p w14:paraId="74C519E0" w14:textId="77777777" w:rsidR="00575089" w:rsidRPr="00575089" w:rsidRDefault="00575089" w:rsidP="00C179A0">
            <w:pPr>
              <w:contextualSpacing/>
              <w:jc w:val="center"/>
              <w:rPr>
                <w:rFonts w:ascii="Palatino Linotype" w:hAnsi="Palatino Linotype"/>
                <w:b/>
                <w:sz w:val="18"/>
                <w:szCs w:val="18"/>
                <w:lang w:val="en-ID"/>
              </w:rPr>
            </w:pPr>
            <w:r w:rsidRPr="00575089">
              <w:rPr>
                <w:rFonts w:ascii="Palatino Linotype" w:hAnsi="Palatino Linotype"/>
                <w:b/>
                <w:sz w:val="18"/>
                <w:szCs w:val="18"/>
                <w:lang w:val="en-ID"/>
              </w:rPr>
              <w:t>CR</w:t>
            </w:r>
          </w:p>
        </w:tc>
      </w:tr>
      <w:tr w:rsidR="00575089" w:rsidRPr="00575089" w14:paraId="034B77BB" w14:textId="77777777" w:rsidTr="006423CD">
        <w:trPr>
          <w:jc w:val="center"/>
        </w:trPr>
        <w:tc>
          <w:tcPr>
            <w:tcW w:w="1306" w:type="dxa"/>
            <w:vMerge w:val="restart"/>
            <w:tcBorders>
              <w:top w:val="single" w:sz="4" w:space="0" w:color="auto"/>
              <w:left w:val="nil"/>
              <w:bottom w:val="nil"/>
              <w:right w:val="nil"/>
            </w:tcBorders>
            <w:shd w:val="clear" w:color="auto" w:fill="auto"/>
            <w:vAlign w:val="center"/>
          </w:tcPr>
          <w:p w14:paraId="3DE32C46" w14:textId="77777777" w:rsidR="00575089" w:rsidRPr="00575089" w:rsidRDefault="00575089" w:rsidP="00C179A0">
            <w:pPr>
              <w:contextualSpacing/>
              <w:jc w:val="center"/>
              <w:rPr>
                <w:rFonts w:ascii="Palatino Linotype" w:hAnsi="Palatino Linotype"/>
                <w:b/>
                <w:bCs/>
                <w:sz w:val="18"/>
                <w:szCs w:val="18"/>
              </w:rPr>
            </w:pPr>
            <w:r w:rsidRPr="00575089">
              <w:rPr>
                <w:rFonts w:ascii="Palatino Linotype" w:hAnsi="Palatino Linotype"/>
                <w:b/>
                <w:bCs/>
                <w:sz w:val="18"/>
                <w:szCs w:val="18"/>
              </w:rPr>
              <w:t>IR</w:t>
            </w:r>
          </w:p>
        </w:tc>
        <w:tc>
          <w:tcPr>
            <w:tcW w:w="1433" w:type="dxa"/>
            <w:tcBorders>
              <w:top w:val="single" w:sz="4" w:space="0" w:color="auto"/>
              <w:left w:val="nil"/>
              <w:bottom w:val="nil"/>
              <w:right w:val="nil"/>
            </w:tcBorders>
            <w:vAlign w:val="bottom"/>
          </w:tcPr>
          <w:p w14:paraId="4F265418" w14:textId="77777777" w:rsidR="00575089" w:rsidRPr="00575089" w:rsidRDefault="00575089" w:rsidP="00C179A0">
            <w:pPr>
              <w:contextualSpacing/>
              <w:jc w:val="center"/>
              <w:rPr>
                <w:rFonts w:ascii="Palatino Linotype" w:hAnsi="Palatino Linotype"/>
                <w:sz w:val="18"/>
                <w:szCs w:val="18"/>
              </w:rPr>
            </w:pPr>
            <w:r w:rsidRPr="00575089">
              <w:rPr>
                <w:rFonts w:ascii="Palatino Linotype" w:hAnsi="Palatino Linotype"/>
                <w:sz w:val="18"/>
                <w:szCs w:val="18"/>
              </w:rPr>
              <w:t>IR1</w:t>
            </w:r>
          </w:p>
        </w:tc>
        <w:tc>
          <w:tcPr>
            <w:tcW w:w="1644" w:type="dxa"/>
            <w:tcBorders>
              <w:top w:val="single" w:sz="4" w:space="0" w:color="auto"/>
              <w:left w:val="nil"/>
              <w:bottom w:val="nil"/>
              <w:right w:val="nil"/>
            </w:tcBorders>
            <w:vAlign w:val="bottom"/>
          </w:tcPr>
          <w:p w14:paraId="0C74EE52" w14:textId="77777777" w:rsidR="00575089" w:rsidRPr="00575089" w:rsidRDefault="00575089" w:rsidP="00C179A0">
            <w:pPr>
              <w:contextualSpacing/>
              <w:jc w:val="center"/>
              <w:rPr>
                <w:rFonts w:ascii="Palatino Linotype" w:hAnsi="Palatino Linotype"/>
                <w:sz w:val="18"/>
                <w:szCs w:val="18"/>
              </w:rPr>
            </w:pPr>
            <w:r w:rsidRPr="00575089">
              <w:rPr>
                <w:rFonts w:ascii="Palatino Linotype" w:hAnsi="Palatino Linotype"/>
                <w:sz w:val="18"/>
                <w:szCs w:val="18"/>
              </w:rPr>
              <w:t>0.728</w:t>
            </w:r>
          </w:p>
        </w:tc>
        <w:tc>
          <w:tcPr>
            <w:tcW w:w="1034" w:type="dxa"/>
            <w:vMerge w:val="restart"/>
            <w:tcBorders>
              <w:top w:val="single" w:sz="4" w:space="0" w:color="auto"/>
              <w:left w:val="nil"/>
              <w:bottom w:val="nil"/>
              <w:right w:val="nil"/>
            </w:tcBorders>
            <w:vAlign w:val="center"/>
          </w:tcPr>
          <w:p w14:paraId="7CE76BD8" w14:textId="77777777" w:rsidR="00575089" w:rsidRPr="00575089" w:rsidRDefault="00575089" w:rsidP="006423CD">
            <w:pPr>
              <w:contextualSpacing/>
              <w:jc w:val="center"/>
              <w:rPr>
                <w:rFonts w:ascii="Palatino Linotype" w:hAnsi="Palatino Linotype"/>
                <w:sz w:val="18"/>
                <w:szCs w:val="18"/>
              </w:rPr>
            </w:pPr>
            <w:r w:rsidRPr="00575089">
              <w:rPr>
                <w:rFonts w:ascii="Palatino Linotype" w:hAnsi="Palatino Linotype"/>
                <w:sz w:val="18"/>
                <w:szCs w:val="18"/>
              </w:rPr>
              <w:t>0.614</w:t>
            </w:r>
          </w:p>
        </w:tc>
        <w:tc>
          <w:tcPr>
            <w:tcW w:w="1134" w:type="dxa"/>
            <w:vMerge w:val="restart"/>
            <w:tcBorders>
              <w:top w:val="single" w:sz="4" w:space="0" w:color="auto"/>
              <w:left w:val="nil"/>
              <w:bottom w:val="nil"/>
              <w:right w:val="nil"/>
            </w:tcBorders>
            <w:vAlign w:val="center"/>
          </w:tcPr>
          <w:p w14:paraId="5521362D" w14:textId="77777777" w:rsidR="00575089" w:rsidRPr="00575089" w:rsidRDefault="00575089" w:rsidP="006423CD">
            <w:pPr>
              <w:contextualSpacing/>
              <w:jc w:val="center"/>
              <w:rPr>
                <w:rFonts w:ascii="Palatino Linotype" w:hAnsi="Palatino Linotype"/>
                <w:sz w:val="18"/>
                <w:szCs w:val="18"/>
              </w:rPr>
            </w:pPr>
            <w:r w:rsidRPr="00575089">
              <w:rPr>
                <w:rFonts w:ascii="Palatino Linotype" w:hAnsi="Palatino Linotype"/>
                <w:sz w:val="18"/>
                <w:szCs w:val="18"/>
              </w:rPr>
              <w:t>0.782</w:t>
            </w:r>
          </w:p>
        </w:tc>
        <w:tc>
          <w:tcPr>
            <w:tcW w:w="1134" w:type="dxa"/>
            <w:vMerge w:val="restart"/>
            <w:tcBorders>
              <w:top w:val="single" w:sz="4" w:space="0" w:color="auto"/>
              <w:left w:val="nil"/>
              <w:bottom w:val="nil"/>
              <w:right w:val="nil"/>
            </w:tcBorders>
            <w:vAlign w:val="center"/>
          </w:tcPr>
          <w:p w14:paraId="76284E29" w14:textId="77777777" w:rsidR="00575089" w:rsidRPr="00575089" w:rsidRDefault="00575089" w:rsidP="006423CD">
            <w:pPr>
              <w:contextualSpacing/>
              <w:jc w:val="center"/>
              <w:rPr>
                <w:rFonts w:ascii="Palatino Linotype" w:hAnsi="Palatino Linotype"/>
                <w:sz w:val="18"/>
                <w:szCs w:val="18"/>
              </w:rPr>
            </w:pPr>
            <w:r w:rsidRPr="00575089">
              <w:rPr>
                <w:rFonts w:ascii="Palatino Linotype" w:hAnsi="Palatino Linotype"/>
                <w:sz w:val="18"/>
                <w:szCs w:val="18"/>
              </w:rPr>
              <w:t>0.883</w:t>
            </w:r>
          </w:p>
        </w:tc>
      </w:tr>
      <w:tr w:rsidR="00575089" w:rsidRPr="00575089" w14:paraId="48029968" w14:textId="77777777" w:rsidTr="006423CD">
        <w:trPr>
          <w:jc w:val="center"/>
        </w:trPr>
        <w:tc>
          <w:tcPr>
            <w:tcW w:w="1306" w:type="dxa"/>
            <w:vMerge/>
            <w:tcBorders>
              <w:top w:val="nil"/>
              <w:left w:val="nil"/>
              <w:bottom w:val="nil"/>
              <w:right w:val="nil"/>
            </w:tcBorders>
            <w:shd w:val="clear" w:color="auto" w:fill="auto"/>
          </w:tcPr>
          <w:p w14:paraId="013CE5BA" w14:textId="77777777" w:rsidR="00575089" w:rsidRPr="00575089" w:rsidRDefault="00575089" w:rsidP="00C179A0">
            <w:pPr>
              <w:contextualSpacing/>
              <w:jc w:val="center"/>
              <w:rPr>
                <w:rFonts w:ascii="Palatino Linotype" w:hAnsi="Palatino Linotype"/>
                <w:b/>
                <w:bCs/>
                <w:sz w:val="18"/>
                <w:szCs w:val="18"/>
              </w:rPr>
            </w:pPr>
          </w:p>
        </w:tc>
        <w:tc>
          <w:tcPr>
            <w:tcW w:w="1433" w:type="dxa"/>
            <w:tcBorders>
              <w:top w:val="nil"/>
              <w:left w:val="nil"/>
              <w:bottom w:val="nil"/>
              <w:right w:val="nil"/>
            </w:tcBorders>
            <w:vAlign w:val="center"/>
          </w:tcPr>
          <w:p w14:paraId="1845CB2B" w14:textId="77777777" w:rsidR="00575089" w:rsidRPr="00575089" w:rsidRDefault="00575089" w:rsidP="00C179A0">
            <w:pPr>
              <w:contextualSpacing/>
              <w:jc w:val="center"/>
              <w:rPr>
                <w:rFonts w:ascii="Palatino Linotype" w:hAnsi="Palatino Linotype"/>
                <w:sz w:val="18"/>
                <w:szCs w:val="18"/>
              </w:rPr>
            </w:pPr>
            <w:r w:rsidRPr="00575089">
              <w:rPr>
                <w:rFonts w:ascii="Palatino Linotype" w:hAnsi="Palatino Linotype"/>
                <w:sz w:val="18"/>
                <w:szCs w:val="18"/>
              </w:rPr>
              <w:t>IR2</w:t>
            </w:r>
          </w:p>
        </w:tc>
        <w:tc>
          <w:tcPr>
            <w:tcW w:w="1644" w:type="dxa"/>
            <w:tcBorders>
              <w:top w:val="nil"/>
              <w:left w:val="nil"/>
              <w:bottom w:val="nil"/>
              <w:right w:val="nil"/>
            </w:tcBorders>
            <w:vAlign w:val="center"/>
          </w:tcPr>
          <w:p w14:paraId="488FFCBE" w14:textId="77777777" w:rsidR="00575089" w:rsidRPr="00575089" w:rsidRDefault="00575089" w:rsidP="00C179A0">
            <w:pPr>
              <w:contextualSpacing/>
              <w:jc w:val="center"/>
              <w:rPr>
                <w:rFonts w:ascii="Palatino Linotype" w:hAnsi="Palatino Linotype"/>
                <w:sz w:val="18"/>
                <w:szCs w:val="18"/>
              </w:rPr>
            </w:pPr>
            <w:r w:rsidRPr="00575089">
              <w:rPr>
                <w:rFonts w:ascii="Palatino Linotype" w:hAnsi="Palatino Linotype"/>
                <w:sz w:val="18"/>
                <w:szCs w:val="18"/>
              </w:rPr>
              <w:t>0.819</w:t>
            </w:r>
          </w:p>
        </w:tc>
        <w:tc>
          <w:tcPr>
            <w:tcW w:w="1034" w:type="dxa"/>
            <w:vMerge/>
            <w:tcBorders>
              <w:top w:val="nil"/>
              <w:left w:val="nil"/>
              <w:bottom w:val="nil"/>
              <w:right w:val="nil"/>
            </w:tcBorders>
            <w:vAlign w:val="center"/>
          </w:tcPr>
          <w:p w14:paraId="56DFE0B7" w14:textId="77777777" w:rsidR="00575089" w:rsidRPr="00575089" w:rsidRDefault="00575089" w:rsidP="006423CD">
            <w:pPr>
              <w:contextualSpacing/>
              <w:jc w:val="center"/>
              <w:rPr>
                <w:rFonts w:ascii="Palatino Linotype" w:hAnsi="Palatino Linotype"/>
                <w:sz w:val="18"/>
                <w:szCs w:val="18"/>
              </w:rPr>
            </w:pPr>
          </w:p>
        </w:tc>
        <w:tc>
          <w:tcPr>
            <w:tcW w:w="1134" w:type="dxa"/>
            <w:vMerge/>
            <w:tcBorders>
              <w:top w:val="nil"/>
              <w:left w:val="nil"/>
              <w:bottom w:val="nil"/>
              <w:right w:val="nil"/>
            </w:tcBorders>
            <w:vAlign w:val="center"/>
          </w:tcPr>
          <w:p w14:paraId="65BCBAC6" w14:textId="77777777" w:rsidR="00575089" w:rsidRPr="00575089" w:rsidRDefault="00575089" w:rsidP="006423CD">
            <w:pPr>
              <w:contextualSpacing/>
              <w:jc w:val="center"/>
              <w:rPr>
                <w:rFonts w:ascii="Palatino Linotype" w:hAnsi="Palatino Linotype"/>
                <w:sz w:val="18"/>
                <w:szCs w:val="18"/>
              </w:rPr>
            </w:pPr>
          </w:p>
        </w:tc>
        <w:tc>
          <w:tcPr>
            <w:tcW w:w="1134" w:type="dxa"/>
            <w:vMerge/>
            <w:tcBorders>
              <w:top w:val="nil"/>
              <w:left w:val="nil"/>
              <w:bottom w:val="nil"/>
              <w:right w:val="nil"/>
            </w:tcBorders>
            <w:vAlign w:val="center"/>
          </w:tcPr>
          <w:p w14:paraId="14562628" w14:textId="77777777" w:rsidR="00575089" w:rsidRPr="00575089" w:rsidRDefault="00575089" w:rsidP="006423CD">
            <w:pPr>
              <w:contextualSpacing/>
              <w:jc w:val="center"/>
              <w:rPr>
                <w:rFonts w:ascii="Palatino Linotype" w:hAnsi="Palatino Linotype"/>
                <w:sz w:val="18"/>
                <w:szCs w:val="18"/>
              </w:rPr>
            </w:pPr>
          </w:p>
        </w:tc>
      </w:tr>
      <w:tr w:rsidR="00575089" w:rsidRPr="00575089" w14:paraId="40674881" w14:textId="77777777" w:rsidTr="006423CD">
        <w:trPr>
          <w:jc w:val="center"/>
        </w:trPr>
        <w:tc>
          <w:tcPr>
            <w:tcW w:w="1306" w:type="dxa"/>
            <w:vMerge/>
            <w:tcBorders>
              <w:top w:val="nil"/>
              <w:left w:val="nil"/>
              <w:bottom w:val="nil"/>
              <w:right w:val="nil"/>
            </w:tcBorders>
            <w:shd w:val="clear" w:color="auto" w:fill="auto"/>
          </w:tcPr>
          <w:p w14:paraId="26C4128F" w14:textId="77777777" w:rsidR="00575089" w:rsidRPr="00575089" w:rsidRDefault="00575089" w:rsidP="00C179A0">
            <w:pPr>
              <w:contextualSpacing/>
              <w:jc w:val="center"/>
              <w:rPr>
                <w:rFonts w:ascii="Palatino Linotype" w:hAnsi="Palatino Linotype"/>
                <w:b/>
                <w:bCs/>
                <w:sz w:val="18"/>
                <w:szCs w:val="18"/>
              </w:rPr>
            </w:pPr>
          </w:p>
        </w:tc>
        <w:tc>
          <w:tcPr>
            <w:tcW w:w="1433" w:type="dxa"/>
            <w:tcBorders>
              <w:top w:val="nil"/>
              <w:left w:val="nil"/>
              <w:bottom w:val="nil"/>
              <w:right w:val="nil"/>
            </w:tcBorders>
            <w:vAlign w:val="center"/>
          </w:tcPr>
          <w:p w14:paraId="4B08C161" w14:textId="77777777" w:rsidR="00575089" w:rsidRPr="00575089" w:rsidRDefault="00575089" w:rsidP="00C179A0">
            <w:pPr>
              <w:contextualSpacing/>
              <w:jc w:val="center"/>
              <w:rPr>
                <w:rFonts w:ascii="Palatino Linotype" w:hAnsi="Palatino Linotype"/>
                <w:sz w:val="18"/>
                <w:szCs w:val="18"/>
              </w:rPr>
            </w:pPr>
            <w:r w:rsidRPr="00575089">
              <w:rPr>
                <w:rFonts w:ascii="Palatino Linotype" w:hAnsi="Palatino Linotype"/>
                <w:sz w:val="18"/>
                <w:szCs w:val="18"/>
              </w:rPr>
              <w:t>IR3</w:t>
            </w:r>
          </w:p>
        </w:tc>
        <w:tc>
          <w:tcPr>
            <w:tcW w:w="1644" w:type="dxa"/>
            <w:tcBorders>
              <w:top w:val="nil"/>
              <w:left w:val="nil"/>
              <w:bottom w:val="nil"/>
              <w:right w:val="nil"/>
            </w:tcBorders>
            <w:vAlign w:val="center"/>
          </w:tcPr>
          <w:p w14:paraId="29EF8061" w14:textId="77777777" w:rsidR="00575089" w:rsidRPr="00575089" w:rsidRDefault="00575089" w:rsidP="00C179A0">
            <w:pPr>
              <w:contextualSpacing/>
              <w:jc w:val="center"/>
              <w:rPr>
                <w:rFonts w:ascii="Palatino Linotype" w:hAnsi="Palatino Linotype"/>
                <w:sz w:val="18"/>
                <w:szCs w:val="18"/>
              </w:rPr>
            </w:pPr>
            <w:r w:rsidRPr="00575089">
              <w:rPr>
                <w:rFonts w:ascii="Palatino Linotype" w:hAnsi="Palatino Linotype"/>
                <w:sz w:val="18"/>
                <w:szCs w:val="18"/>
              </w:rPr>
              <w:t>0.869</w:t>
            </w:r>
          </w:p>
        </w:tc>
        <w:tc>
          <w:tcPr>
            <w:tcW w:w="1034" w:type="dxa"/>
            <w:vMerge/>
            <w:tcBorders>
              <w:top w:val="nil"/>
              <w:left w:val="nil"/>
              <w:bottom w:val="nil"/>
              <w:right w:val="nil"/>
            </w:tcBorders>
            <w:vAlign w:val="center"/>
          </w:tcPr>
          <w:p w14:paraId="641CD06B" w14:textId="77777777" w:rsidR="00575089" w:rsidRPr="00575089" w:rsidRDefault="00575089" w:rsidP="006423CD">
            <w:pPr>
              <w:contextualSpacing/>
              <w:jc w:val="center"/>
              <w:rPr>
                <w:rFonts w:ascii="Palatino Linotype" w:hAnsi="Palatino Linotype"/>
                <w:sz w:val="18"/>
                <w:szCs w:val="18"/>
              </w:rPr>
            </w:pPr>
          </w:p>
        </w:tc>
        <w:tc>
          <w:tcPr>
            <w:tcW w:w="1134" w:type="dxa"/>
            <w:vMerge/>
            <w:tcBorders>
              <w:top w:val="nil"/>
              <w:left w:val="nil"/>
              <w:bottom w:val="nil"/>
              <w:right w:val="nil"/>
            </w:tcBorders>
            <w:vAlign w:val="center"/>
          </w:tcPr>
          <w:p w14:paraId="40748824" w14:textId="77777777" w:rsidR="00575089" w:rsidRPr="00575089" w:rsidRDefault="00575089" w:rsidP="006423CD">
            <w:pPr>
              <w:contextualSpacing/>
              <w:jc w:val="center"/>
              <w:rPr>
                <w:rFonts w:ascii="Palatino Linotype" w:hAnsi="Palatino Linotype"/>
                <w:sz w:val="18"/>
                <w:szCs w:val="18"/>
              </w:rPr>
            </w:pPr>
          </w:p>
        </w:tc>
        <w:tc>
          <w:tcPr>
            <w:tcW w:w="1134" w:type="dxa"/>
            <w:vMerge/>
            <w:tcBorders>
              <w:top w:val="nil"/>
              <w:left w:val="nil"/>
              <w:bottom w:val="nil"/>
              <w:right w:val="nil"/>
            </w:tcBorders>
            <w:vAlign w:val="center"/>
          </w:tcPr>
          <w:p w14:paraId="51979CCD" w14:textId="77777777" w:rsidR="00575089" w:rsidRPr="00575089" w:rsidRDefault="00575089" w:rsidP="006423CD">
            <w:pPr>
              <w:contextualSpacing/>
              <w:jc w:val="center"/>
              <w:rPr>
                <w:rFonts w:ascii="Palatino Linotype" w:hAnsi="Palatino Linotype"/>
                <w:sz w:val="18"/>
                <w:szCs w:val="18"/>
              </w:rPr>
            </w:pPr>
          </w:p>
        </w:tc>
      </w:tr>
      <w:tr w:rsidR="00575089" w:rsidRPr="00575089" w14:paraId="56F6D796" w14:textId="77777777" w:rsidTr="006423CD">
        <w:trPr>
          <w:jc w:val="center"/>
        </w:trPr>
        <w:tc>
          <w:tcPr>
            <w:tcW w:w="1306" w:type="dxa"/>
            <w:vMerge/>
            <w:tcBorders>
              <w:top w:val="nil"/>
              <w:left w:val="nil"/>
              <w:bottom w:val="nil"/>
              <w:right w:val="nil"/>
            </w:tcBorders>
            <w:shd w:val="clear" w:color="auto" w:fill="auto"/>
          </w:tcPr>
          <w:p w14:paraId="55554325" w14:textId="77777777" w:rsidR="00575089" w:rsidRPr="00575089" w:rsidRDefault="00575089" w:rsidP="00C179A0">
            <w:pPr>
              <w:contextualSpacing/>
              <w:jc w:val="center"/>
              <w:rPr>
                <w:rFonts w:ascii="Palatino Linotype" w:hAnsi="Palatino Linotype"/>
                <w:b/>
                <w:bCs/>
                <w:sz w:val="18"/>
                <w:szCs w:val="18"/>
              </w:rPr>
            </w:pPr>
          </w:p>
        </w:tc>
        <w:tc>
          <w:tcPr>
            <w:tcW w:w="1433" w:type="dxa"/>
            <w:tcBorders>
              <w:top w:val="nil"/>
              <w:left w:val="nil"/>
              <w:bottom w:val="nil"/>
              <w:right w:val="nil"/>
            </w:tcBorders>
            <w:vAlign w:val="center"/>
          </w:tcPr>
          <w:p w14:paraId="42FDCAD1" w14:textId="77777777" w:rsidR="00575089" w:rsidRPr="00575089" w:rsidRDefault="00575089" w:rsidP="00C179A0">
            <w:pPr>
              <w:contextualSpacing/>
              <w:jc w:val="center"/>
              <w:rPr>
                <w:rFonts w:ascii="Palatino Linotype" w:hAnsi="Palatino Linotype"/>
                <w:sz w:val="18"/>
                <w:szCs w:val="18"/>
              </w:rPr>
            </w:pPr>
            <w:r w:rsidRPr="00575089">
              <w:rPr>
                <w:rFonts w:ascii="Palatino Linotype" w:hAnsi="Palatino Linotype"/>
                <w:sz w:val="18"/>
                <w:szCs w:val="18"/>
              </w:rPr>
              <w:t>IR4</w:t>
            </w:r>
          </w:p>
        </w:tc>
        <w:tc>
          <w:tcPr>
            <w:tcW w:w="1644" w:type="dxa"/>
            <w:tcBorders>
              <w:top w:val="nil"/>
              <w:left w:val="nil"/>
              <w:bottom w:val="nil"/>
              <w:right w:val="nil"/>
            </w:tcBorders>
            <w:vAlign w:val="center"/>
          </w:tcPr>
          <w:p w14:paraId="1D5A8EBE" w14:textId="77777777" w:rsidR="00575089" w:rsidRPr="00575089" w:rsidRDefault="00575089" w:rsidP="00C179A0">
            <w:pPr>
              <w:contextualSpacing/>
              <w:jc w:val="center"/>
              <w:rPr>
                <w:rFonts w:ascii="Palatino Linotype" w:hAnsi="Palatino Linotype"/>
                <w:sz w:val="18"/>
                <w:szCs w:val="18"/>
              </w:rPr>
            </w:pPr>
            <w:r w:rsidRPr="00575089">
              <w:rPr>
                <w:rFonts w:ascii="Palatino Linotype" w:hAnsi="Palatino Linotype"/>
                <w:sz w:val="18"/>
                <w:szCs w:val="18"/>
              </w:rPr>
              <w:t>0.706</w:t>
            </w:r>
          </w:p>
        </w:tc>
        <w:tc>
          <w:tcPr>
            <w:tcW w:w="1034" w:type="dxa"/>
            <w:vMerge/>
            <w:tcBorders>
              <w:top w:val="nil"/>
              <w:left w:val="nil"/>
              <w:bottom w:val="nil"/>
              <w:right w:val="nil"/>
            </w:tcBorders>
            <w:vAlign w:val="center"/>
          </w:tcPr>
          <w:p w14:paraId="3622C832" w14:textId="77777777" w:rsidR="00575089" w:rsidRPr="00575089" w:rsidRDefault="00575089" w:rsidP="006423CD">
            <w:pPr>
              <w:contextualSpacing/>
              <w:jc w:val="center"/>
              <w:rPr>
                <w:rFonts w:ascii="Palatino Linotype" w:hAnsi="Palatino Linotype"/>
                <w:sz w:val="18"/>
                <w:szCs w:val="18"/>
              </w:rPr>
            </w:pPr>
          </w:p>
        </w:tc>
        <w:tc>
          <w:tcPr>
            <w:tcW w:w="1134" w:type="dxa"/>
            <w:vMerge/>
            <w:tcBorders>
              <w:top w:val="nil"/>
              <w:left w:val="nil"/>
              <w:bottom w:val="nil"/>
              <w:right w:val="nil"/>
            </w:tcBorders>
            <w:vAlign w:val="center"/>
          </w:tcPr>
          <w:p w14:paraId="6F66F057" w14:textId="77777777" w:rsidR="00575089" w:rsidRPr="00575089" w:rsidRDefault="00575089" w:rsidP="006423CD">
            <w:pPr>
              <w:contextualSpacing/>
              <w:jc w:val="center"/>
              <w:rPr>
                <w:rFonts w:ascii="Palatino Linotype" w:hAnsi="Palatino Linotype"/>
                <w:sz w:val="18"/>
                <w:szCs w:val="18"/>
              </w:rPr>
            </w:pPr>
          </w:p>
        </w:tc>
        <w:tc>
          <w:tcPr>
            <w:tcW w:w="1134" w:type="dxa"/>
            <w:vMerge/>
            <w:tcBorders>
              <w:top w:val="nil"/>
              <w:left w:val="nil"/>
              <w:bottom w:val="nil"/>
              <w:right w:val="nil"/>
            </w:tcBorders>
            <w:vAlign w:val="center"/>
          </w:tcPr>
          <w:p w14:paraId="5B1F3310" w14:textId="77777777" w:rsidR="00575089" w:rsidRPr="00575089" w:rsidRDefault="00575089" w:rsidP="006423CD">
            <w:pPr>
              <w:contextualSpacing/>
              <w:jc w:val="center"/>
              <w:rPr>
                <w:rFonts w:ascii="Palatino Linotype" w:hAnsi="Palatino Linotype"/>
                <w:sz w:val="18"/>
                <w:szCs w:val="18"/>
              </w:rPr>
            </w:pPr>
          </w:p>
        </w:tc>
      </w:tr>
      <w:tr w:rsidR="00575089" w:rsidRPr="00575089" w14:paraId="79D2AACC" w14:textId="77777777" w:rsidTr="006423CD">
        <w:trPr>
          <w:jc w:val="center"/>
        </w:trPr>
        <w:tc>
          <w:tcPr>
            <w:tcW w:w="1306" w:type="dxa"/>
            <w:vMerge w:val="restart"/>
            <w:tcBorders>
              <w:top w:val="nil"/>
              <w:left w:val="nil"/>
              <w:bottom w:val="nil"/>
              <w:right w:val="nil"/>
            </w:tcBorders>
            <w:shd w:val="clear" w:color="auto" w:fill="auto"/>
            <w:vAlign w:val="center"/>
          </w:tcPr>
          <w:p w14:paraId="56B9691C" w14:textId="77777777" w:rsidR="00575089" w:rsidRPr="00575089" w:rsidRDefault="00575089" w:rsidP="00C179A0">
            <w:pPr>
              <w:contextualSpacing/>
              <w:jc w:val="center"/>
              <w:rPr>
                <w:rFonts w:ascii="Palatino Linotype" w:hAnsi="Palatino Linotype"/>
                <w:b/>
                <w:bCs/>
                <w:sz w:val="18"/>
                <w:szCs w:val="18"/>
              </w:rPr>
            </w:pPr>
            <w:r w:rsidRPr="00575089">
              <w:rPr>
                <w:rFonts w:ascii="Palatino Linotype" w:hAnsi="Palatino Linotype"/>
                <w:b/>
                <w:bCs/>
                <w:sz w:val="18"/>
                <w:szCs w:val="18"/>
              </w:rPr>
              <w:t>PI</w:t>
            </w:r>
          </w:p>
        </w:tc>
        <w:tc>
          <w:tcPr>
            <w:tcW w:w="1433" w:type="dxa"/>
            <w:tcBorders>
              <w:top w:val="nil"/>
              <w:left w:val="nil"/>
              <w:bottom w:val="nil"/>
              <w:right w:val="nil"/>
            </w:tcBorders>
            <w:vAlign w:val="center"/>
          </w:tcPr>
          <w:p w14:paraId="22024C49" w14:textId="77777777" w:rsidR="00575089" w:rsidRPr="00575089" w:rsidRDefault="00575089" w:rsidP="00C179A0">
            <w:pPr>
              <w:contextualSpacing/>
              <w:jc w:val="center"/>
              <w:rPr>
                <w:rFonts w:ascii="Palatino Linotype" w:hAnsi="Palatino Linotype"/>
                <w:sz w:val="18"/>
                <w:szCs w:val="18"/>
              </w:rPr>
            </w:pPr>
            <w:r w:rsidRPr="00575089">
              <w:rPr>
                <w:rFonts w:ascii="Palatino Linotype" w:hAnsi="Palatino Linotype"/>
                <w:sz w:val="18"/>
                <w:szCs w:val="18"/>
              </w:rPr>
              <w:t>PI1</w:t>
            </w:r>
          </w:p>
        </w:tc>
        <w:tc>
          <w:tcPr>
            <w:tcW w:w="1644" w:type="dxa"/>
            <w:tcBorders>
              <w:top w:val="nil"/>
              <w:left w:val="nil"/>
              <w:bottom w:val="nil"/>
              <w:right w:val="nil"/>
            </w:tcBorders>
            <w:vAlign w:val="center"/>
          </w:tcPr>
          <w:p w14:paraId="4D3562B0" w14:textId="77777777" w:rsidR="00575089" w:rsidRPr="00575089" w:rsidRDefault="00575089" w:rsidP="00C179A0">
            <w:pPr>
              <w:contextualSpacing/>
              <w:jc w:val="center"/>
              <w:rPr>
                <w:rFonts w:ascii="Palatino Linotype" w:hAnsi="Palatino Linotype"/>
                <w:sz w:val="18"/>
                <w:szCs w:val="18"/>
              </w:rPr>
            </w:pPr>
            <w:r w:rsidRPr="00575089">
              <w:rPr>
                <w:rFonts w:ascii="Palatino Linotype" w:hAnsi="Palatino Linotype"/>
                <w:sz w:val="18"/>
                <w:szCs w:val="18"/>
              </w:rPr>
              <w:t>0.858</w:t>
            </w:r>
          </w:p>
        </w:tc>
        <w:tc>
          <w:tcPr>
            <w:tcW w:w="1034" w:type="dxa"/>
            <w:vMerge w:val="restart"/>
            <w:tcBorders>
              <w:top w:val="nil"/>
              <w:left w:val="nil"/>
              <w:bottom w:val="nil"/>
              <w:right w:val="nil"/>
            </w:tcBorders>
            <w:vAlign w:val="center"/>
          </w:tcPr>
          <w:p w14:paraId="1417CF6F" w14:textId="77777777" w:rsidR="00575089" w:rsidRPr="00575089" w:rsidRDefault="00575089" w:rsidP="006423CD">
            <w:pPr>
              <w:contextualSpacing/>
              <w:jc w:val="center"/>
              <w:rPr>
                <w:rFonts w:ascii="Palatino Linotype" w:hAnsi="Palatino Linotype"/>
                <w:sz w:val="18"/>
                <w:szCs w:val="18"/>
              </w:rPr>
            </w:pPr>
            <w:r w:rsidRPr="00575089">
              <w:rPr>
                <w:rFonts w:ascii="Palatino Linotype" w:hAnsi="Palatino Linotype"/>
                <w:sz w:val="18"/>
                <w:szCs w:val="18"/>
              </w:rPr>
              <w:t>0.741</w:t>
            </w:r>
          </w:p>
        </w:tc>
        <w:tc>
          <w:tcPr>
            <w:tcW w:w="1134" w:type="dxa"/>
            <w:vMerge w:val="restart"/>
            <w:tcBorders>
              <w:top w:val="nil"/>
              <w:left w:val="nil"/>
              <w:bottom w:val="nil"/>
              <w:right w:val="nil"/>
            </w:tcBorders>
            <w:vAlign w:val="center"/>
          </w:tcPr>
          <w:p w14:paraId="707D9277" w14:textId="77777777" w:rsidR="00575089" w:rsidRPr="00575089" w:rsidRDefault="00575089" w:rsidP="006423CD">
            <w:pPr>
              <w:contextualSpacing/>
              <w:jc w:val="center"/>
              <w:rPr>
                <w:rFonts w:ascii="Palatino Linotype" w:hAnsi="Palatino Linotype"/>
                <w:sz w:val="18"/>
                <w:szCs w:val="18"/>
              </w:rPr>
            </w:pPr>
            <w:r w:rsidRPr="00575089">
              <w:rPr>
                <w:rFonts w:ascii="Palatino Linotype" w:hAnsi="Palatino Linotype"/>
                <w:sz w:val="18"/>
                <w:szCs w:val="18"/>
              </w:rPr>
              <w:t>0.878</w:t>
            </w:r>
          </w:p>
        </w:tc>
        <w:tc>
          <w:tcPr>
            <w:tcW w:w="1134" w:type="dxa"/>
            <w:vMerge w:val="restart"/>
            <w:tcBorders>
              <w:top w:val="nil"/>
              <w:left w:val="nil"/>
              <w:bottom w:val="nil"/>
              <w:right w:val="nil"/>
            </w:tcBorders>
            <w:vAlign w:val="center"/>
          </w:tcPr>
          <w:p w14:paraId="1C68C177" w14:textId="77777777" w:rsidR="00575089" w:rsidRPr="00575089" w:rsidRDefault="00575089" w:rsidP="006423CD">
            <w:pPr>
              <w:contextualSpacing/>
              <w:jc w:val="center"/>
              <w:rPr>
                <w:rFonts w:ascii="Palatino Linotype" w:hAnsi="Palatino Linotype"/>
                <w:sz w:val="18"/>
                <w:szCs w:val="18"/>
              </w:rPr>
            </w:pPr>
            <w:r w:rsidRPr="00575089">
              <w:rPr>
                <w:rFonts w:ascii="Palatino Linotype" w:hAnsi="Palatino Linotype"/>
                <w:sz w:val="18"/>
                <w:szCs w:val="18"/>
              </w:rPr>
              <w:t>0.901</w:t>
            </w:r>
          </w:p>
        </w:tc>
      </w:tr>
      <w:tr w:rsidR="00575089" w:rsidRPr="00575089" w14:paraId="386F74FC" w14:textId="77777777" w:rsidTr="006423CD">
        <w:trPr>
          <w:jc w:val="center"/>
        </w:trPr>
        <w:tc>
          <w:tcPr>
            <w:tcW w:w="1306" w:type="dxa"/>
            <w:vMerge/>
            <w:tcBorders>
              <w:top w:val="nil"/>
              <w:left w:val="nil"/>
              <w:bottom w:val="nil"/>
              <w:right w:val="nil"/>
            </w:tcBorders>
            <w:shd w:val="clear" w:color="auto" w:fill="auto"/>
          </w:tcPr>
          <w:p w14:paraId="21EF59A2" w14:textId="77777777" w:rsidR="00575089" w:rsidRPr="00575089" w:rsidRDefault="00575089" w:rsidP="00C179A0">
            <w:pPr>
              <w:contextualSpacing/>
              <w:jc w:val="center"/>
              <w:rPr>
                <w:rFonts w:ascii="Palatino Linotype" w:hAnsi="Palatino Linotype"/>
                <w:b/>
                <w:bCs/>
                <w:sz w:val="18"/>
                <w:szCs w:val="18"/>
              </w:rPr>
            </w:pPr>
          </w:p>
        </w:tc>
        <w:tc>
          <w:tcPr>
            <w:tcW w:w="1433" w:type="dxa"/>
            <w:tcBorders>
              <w:top w:val="nil"/>
              <w:left w:val="nil"/>
              <w:bottom w:val="nil"/>
              <w:right w:val="nil"/>
            </w:tcBorders>
            <w:vAlign w:val="center"/>
          </w:tcPr>
          <w:p w14:paraId="764E69B3" w14:textId="77777777" w:rsidR="00575089" w:rsidRPr="00575089" w:rsidRDefault="00575089" w:rsidP="00C179A0">
            <w:pPr>
              <w:contextualSpacing/>
              <w:jc w:val="center"/>
              <w:rPr>
                <w:rFonts w:ascii="Palatino Linotype" w:hAnsi="Palatino Linotype"/>
                <w:sz w:val="18"/>
                <w:szCs w:val="18"/>
              </w:rPr>
            </w:pPr>
            <w:r w:rsidRPr="00575089">
              <w:rPr>
                <w:rFonts w:ascii="Palatino Linotype" w:hAnsi="Palatino Linotype"/>
                <w:sz w:val="18"/>
                <w:szCs w:val="18"/>
              </w:rPr>
              <w:t>PI2</w:t>
            </w:r>
          </w:p>
        </w:tc>
        <w:tc>
          <w:tcPr>
            <w:tcW w:w="1644" w:type="dxa"/>
            <w:tcBorders>
              <w:top w:val="nil"/>
              <w:left w:val="nil"/>
              <w:bottom w:val="nil"/>
              <w:right w:val="nil"/>
            </w:tcBorders>
            <w:vAlign w:val="center"/>
          </w:tcPr>
          <w:p w14:paraId="3939EDAA" w14:textId="77777777" w:rsidR="00575089" w:rsidRPr="00575089" w:rsidRDefault="00575089" w:rsidP="00C179A0">
            <w:pPr>
              <w:contextualSpacing/>
              <w:jc w:val="center"/>
              <w:rPr>
                <w:rFonts w:ascii="Palatino Linotype" w:hAnsi="Palatino Linotype"/>
                <w:sz w:val="18"/>
                <w:szCs w:val="18"/>
              </w:rPr>
            </w:pPr>
            <w:r w:rsidRPr="00575089">
              <w:rPr>
                <w:rFonts w:ascii="Palatino Linotype" w:hAnsi="Palatino Linotype"/>
                <w:sz w:val="18"/>
                <w:szCs w:val="18"/>
              </w:rPr>
              <w:t>0.792</w:t>
            </w:r>
          </w:p>
        </w:tc>
        <w:tc>
          <w:tcPr>
            <w:tcW w:w="1034" w:type="dxa"/>
            <w:vMerge/>
            <w:tcBorders>
              <w:top w:val="nil"/>
              <w:left w:val="nil"/>
              <w:bottom w:val="nil"/>
              <w:right w:val="nil"/>
            </w:tcBorders>
            <w:vAlign w:val="center"/>
          </w:tcPr>
          <w:p w14:paraId="7E5F737D" w14:textId="77777777" w:rsidR="00575089" w:rsidRPr="00575089" w:rsidRDefault="00575089" w:rsidP="006423CD">
            <w:pPr>
              <w:contextualSpacing/>
              <w:jc w:val="center"/>
              <w:rPr>
                <w:rFonts w:ascii="Palatino Linotype" w:hAnsi="Palatino Linotype"/>
                <w:sz w:val="18"/>
                <w:szCs w:val="18"/>
              </w:rPr>
            </w:pPr>
          </w:p>
        </w:tc>
        <w:tc>
          <w:tcPr>
            <w:tcW w:w="1134" w:type="dxa"/>
            <w:vMerge/>
            <w:tcBorders>
              <w:top w:val="nil"/>
              <w:left w:val="nil"/>
              <w:bottom w:val="nil"/>
              <w:right w:val="nil"/>
            </w:tcBorders>
            <w:vAlign w:val="center"/>
          </w:tcPr>
          <w:p w14:paraId="2EDE6F5B" w14:textId="77777777" w:rsidR="00575089" w:rsidRPr="00575089" w:rsidRDefault="00575089" w:rsidP="006423CD">
            <w:pPr>
              <w:contextualSpacing/>
              <w:jc w:val="center"/>
              <w:rPr>
                <w:rFonts w:ascii="Palatino Linotype" w:hAnsi="Palatino Linotype"/>
                <w:sz w:val="18"/>
                <w:szCs w:val="18"/>
              </w:rPr>
            </w:pPr>
          </w:p>
        </w:tc>
        <w:tc>
          <w:tcPr>
            <w:tcW w:w="1134" w:type="dxa"/>
            <w:vMerge/>
            <w:tcBorders>
              <w:top w:val="nil"/>
              <w:left w:val="nil"/>
              <w:bottom w:val="nil"/>
              <w:right w:val="nil"/>
            </w:tcBorders>
            <w:vAlign w:val="center"/>
          </w:tcPr>
          <w:p w14:paraId="2662D418" w14:textId="77777777" w:rsidR="00575089" w:rsidRPr="00575089" w:rsidRDefault="00575089" w:rsidP="006423CD">
            <w:pPr>
              <w:contextualSpacing/>
              <w:jc w:val="center"/>
              <w:rPr>
                <w:rFonts w:ascii="Palatino Linotype" w:hAnsi="Palatino Linotype"/>
                <w:sz w:val="18"/>
                <w:szCs w:val="18"/>
              </w:rPr>
            </w:pPr>
          </w:p>
        </w:tc>
      </w:tr>
      <w:tr w:rsidR="00575089" w:rsidRPr="00575089" w14:paraId="66E1EFD4" w14:textId="77777777" w:rsidTr="006423CD">
        <w:trPr>
          <w:jc w:val="center"/>
        </w:trPr>
        <w:tc>
          <w:tcPr>
            <w:tcW w:w="1306" w:type="dxa"/>
            <w:vMerge/>
            <w:tcBorders>
              <w:top w:val="nil"/>
              <w:left w:val="nil"/>
              <w:bottom w:val="nil"/>
              <w:right w:val="nil"/>
            </w:tcBorders>
            <w:shd w:val="clear" w:color="auto" w:fill="auto"/>
          </w:tcPr>
          <w:p w14:paraId="26E7C057" w14:textId="77777777" w:rsidR="00575089" w:rsidRPr="00575089" w:rsidRDefault="00575089" w:rsidP="00C179A0">
            <w:pPr>
              <w:contextualSpacing/>
              <w:jc w:val="center"/>
              <w:rPr>
                <w:rFonts w:ascii="Palatino Linotype" w:hAnsi="Palatino Linotype"/>
                <w:b/>
                <w:bCs/>
                <w:sz w:val="18"/>
                <w:szCs w:val="18"/>
              </w:rPr>
            </w:pPr>
          </w:p>
        </w:tc>
        <w:tc>
          <w:tcPr>
            <w:tcW w:w="1433" w:type="dxa"/>
            <w:tcBorders>
              <w:top w:val="nil"/>
              <w:left w:val="nil"/>
              <w:bottom w:val="nil"/>
              <w:right w:val="nil"/>
            </w:tcBorders>
            <w:vAlign w:val="center"/>
          </w:tcPr>
          <w:p w14:paraId="23CA8673" w14:textId="77777777" w:rsidR="00575089" w:rsidRPr="00575089" w:rsidRDefault="00575089" w:rsidP="00C179A0">
            <w:pPr>
              <w:contextualSpacing/>
              <w:jc w:val="center"/>
              <w:rPr>
                <w:rFonts w:ascii="Palatino Linotype" w:hAnsi="Palatino Linotype"/>
                <w:sz w:val="18"/>
                <w:szCs w:val="18"/>
              </w:rPr>
            </w:pPr>
            <w:r w:rsidRPr="00575089">
              <w:rPr>
                <w:rFonts w:ascii="Palatino Linotype" w:hAnsi="Palatino Linotype"/>
                <w:sz w:val="18"/>
                <w:szCs w:val="18"/>
              </w:rPr>
              <w:t>PI3</w:t>
            </w:r>
          </w:p>
        </w:tc>
        <w:tc>
          <w:tcPr>
            <w:tcW w:w="1644" w:type="dxa"/>
            <w:tcBorders>
              <w:top w:val="nil"/>
              <w:left w:val="nil"/>
              <w:bottom w:val="nil"/>
              <w:right w:val="nil"/>
            </w:tcBorders>
            <w:vAlign w:val="center"/>
          </w:tcPr>
          <w:p w14:paraId="2B94B023" w14:textId="77777777" w:rsidR="00575089" w:rsidRPr="00575089" w:rsidRDefault="00575089" w:rsidP="00C179A0">
            <w:pPr>
              <w:contextualSpacing/>
              <w:jc w:val="center"/>
              <w:rPr>
                <w:rFonts w:ascii="Palatino Linotype" w:hAnsi="Palatino Linotype"/>
                <w:sz w:val="18"/>
                <w:szCs w:val="18"/>
              </w:rPr>
            </w:pPr>
            <w:r w:rsidRPr="00575089">
              <w:rPr>
                <w:rFonts w:ascii="Palatino Linotype" w:hAnsi="Palatino Linotype"/>
                <w:sz w:val="18"/>
                <w:szCs w:val="18"/>
              </w:rPr>
              <w:t>0.869</w:t>
            </w:r>
          </w:p>
        </w:tc>
        <w:tc>
          <w:tcPr>
            <w:tcW w:w="1034" w:type="dxa"/>
            <w:vMerge/>
            <w:tcBorders>
              <w:top w:val="nil"/>
              <w:left w:val="nil"/>
              <w:bottom w:val="nil"/>
              <w:right w:val="nil"/>
            </w:tcBorders>
            <w:vAlign w:val="center"/>
          </w:tcPr>
          <w:p w14:paraId="0235F7B3" w14:textId="77777777" w:rsidR="00575089" w:rsidRPr="00575089" w:rsidRDefault="00575089" w:rsidP="006423CD">
            <w:pPr>
              <w:contextualSpacing/>
              <w:jc w:val="center"/>
              <w:rPr>
                <w:rFonts w:ascii="Palatino Linotype" w:hAnsi="Palatino Linotype"/>
                <w:sz w:val="18"/>
                <w:szCs w:val="18"/>
              </w:rPr>
            </w:pPr>
          </w:p>
        </w:tc>
        <w:tc>
          <w:tcPr>
            <w:tcW w:w="1134" w:type="dxa"/>
            <w:vMerge/>
            <w:tcBorders>
              <w:top w:val="nil"/>
              <w:left w:val="nil"/>
              <w:bottom w:val="nil"/>
              <w:right w:val="nil"/>
            </w:tcBorders>
            <w:vAlign w:val="center"/>
          </w:tcPr>
          <w:p w14:paraId="6B6C3E5B" w14:textId="77777777" w:rsidR="00575089" w:rsidRPr="00575089" w:rsidRDefault="00575089" w:rsidP="006423CD">
            <w:pPr>
              <w:contextualSpacing/>
              <w:jc w:val="center"/>
              <w:rPr>
                <w:rFonts w:ascii="Palatino Linotype" w:hAnsi="Palatino Linotype"/>
                <w:sz w:val="18"/>
                <w:szCs w:val="18"/>
              </w:rPr>
            </w:pPr>
          </w:p>
        </w:tc>
        <w:tc>
          <w:tcPr>
            <w:tcW w:w="1134" w:type="dxa"/>
            <w:vMerge/>
            <w:tcBorders>
              <w:top w:val="nil"/>
              <w:left w:val="nil"/>
              <w:bottom w:val="nil"/>
              <w:right w:val="nil"/>
            </w:tcBorders>
            <w:vAlign w:val="center"/>
          </w:tcPr>
          <w:p w14:paraId="32A108F8" w14:textId="77777777" w:rsidR="00575089" w:rsidRPr="00575089" w:rsidRDefault="00575089" w:rsidP="006423CD">
            <w:pPr>
              <w:contextualSpacing/>
              <w:jc w:val="center"/>
              <w:rPr>
                <w:rFonts w:ascii="Palatino Linotype" w:hAnsi="Palatino Linotype"/>
                <w:sz w:val="18"/>
                <w:szCs w:val="18"/>
              </w:rPr>
            </w:pPr>
          </w:p>
        </w:tc>
      </w:tr>
      <w:tr w:rsidR="00575089" w:rsidRPr="00575089" w14:paraId="1F2D774C" w14:textId="77777777" w:rsidTr="006423CD">
        <w:trPr>
          <w:jc w:val="center"/>
        </w:trPr>
        <w:tc>
          <w:tcPr>
            <w:tcW w:w="1306" w:type="dxa"/>
            <w:vMerge/>
            <w:tcBorders>
              <w:top w:val="nil"/>
              <w:left w:val="nil"/>
              <w:bottom w:val="nil"/>
              <w:right w:val="nil"/>
            </w:tcBorders>
            <w:shd w:val="clear" w:color="auto" w:fill="auto"/>
          </w:tcPr>
          <w:p w14:paraId="04BA7AC6" w14:textId="77777777" w:rsidR="00575089" w:rsidRPr="00575089" w:rsidRDefault="00575089" w:rsidP="00C179A0">
            <w:pPr>
              <w:contextualSpacing/>
              <w:jc w:val="center"/>
              <w:rPr>
                <w:rFonts w:ascii="Palatino Linotype" w:hAnsi="Palatino Linotype"/>
                <w:b/>
                <w:bCs/>
                <w:sz w:val="18"/>
                <w:szCs w:val="18"/>
              </w:rPr>
            </w:pPr>
          </w:p>
        </w:tc>
        <w:tc>
          <w:tcPr>
            <w:tcW w:w="1433" w:type="dxa"/>
            <w:tcBorders>
              <w:top w:val="nil"/>
              <w:left w:val="nil"/>
              <w:bottom w:val="nil"/>
              <w:right w:val="nil"/>
            </w:tcBorders>
            <w:vAlign w:val="center"/>
          </w:tcPr>
          <w:p w14:paraId="0104C0D8" w14:textId="77777777" w:rsidR="00575089" w:rsidRPr="00575089" w:rsidRDefault="00575089" w:rsidP="00C179A0">
            <w:pPr>
              <w:contextualSpacing/>
              <w:jc w:val="center"/>
              <w:rPr>
                <w:rFonts w:ascii="Palatino Linotype" w:hAnsi="Palatino Linotype"/>
                <w:sz w:val="18"/>
                <w:szCs w:val="18"/>
              </w:rPr>
            </w:pPr>
            <w:r w:rsidRPr="00575089">
              <w:rPr>
                <w:rFonts w:ascii="Palatino Linotype" w:hAnsi="Palatino Linotype"/>
                <w:sz w:val="18"/>
                <w:szCs w:val="18"/>
              </w:rPr>
              <w:t>PI4</w:t>
            </w:r>
          </w:p>
        </w:tc>
        <w:tc>
          <w:tcPr>
            <w:tcW w:w="1644" w:type="dxa"/>
            <w:tcBorders>
              <w:top w:val="nil"/>
              <w:left w:val="nil"/>
              <w:bottom w:val="nil"/>
              <w:right w:val="nil"/>
            </w:tcBorders>
            <w:vAlign w:val="center"/>
          </w:tcPr>
          <w:p w14:paraId="2E66D9D0" w14:textId="77777777" w:rsidR="00575089" w:rsidRPr="00575089" w:rsidRDefault="00575089" w:rsidP="00C179A0">
            <w:pPr>
              <w:contextualSpacing/>
              <w:jc w:val="center"/>
              <w:rPr>
                <w:rFonts w:ascii="Palatino Linotype" w:hAnsi="Palatino Linotype"/>
                <w:sz w:val="18"/>
                <w:szCs w:val="18"/>
              </w:rPr>
            </w:pPr>
            <w:r w:rsidRPr="00575089">
              <w:rPr>
                <w:rFonts w:ascii="Palatino Linotype" w:hAnsi="Palatino Linotype"/>
                <w:sz w:val="18"/>
                <w:szCs w:val="18"/>
              </w:rPr>
              <w:t>0.918</w:t>
            </w:r>
          </w:p>
        </w:tc>
        <w:tc>
          <w:tcPr>
            <w:tcW w:w="1034" w:type="dxa"/>
            <w:vMerge/>
            <w:tcBorders>
              <w:top w:val="nil"/>
              <w:left w:val="nil"/>
              <w:bottom w:val="nil"/>
              <w:right w:val="nil"/>
            </w:tcBorders>
            <w:vAlign w:val="center"/>
          </w:tcPr>
          <w:p w14:paraId="3ABED502" w14:textId="77777777" w:rsidR="00575089" w:rsidRPr="00575089" w:rsidRDefault="00575089" w:rsidP="006423CD">
            <w:pPr>
              <w:contextualSpacing/>
              <w:jc w:val="center"/>
              <w:rPr>
                <w:rFonts w:ascii="Palatino Linotype" w:hAnsi="Palatino Linotype"/>
                <w:sz w:val="18"/>
                <w:szCs w:val="18"/>
              </w:rPr>
            </w:pPr>
          </w:p>
        </w:tc>
        <w:tc>
          <w:tcPr>
            <w:tcW w:w="1134" w:type="dxa"/>
            <w:vMerge/>
            <w:tcBorders>
              <w:top w:val="nil"/>
              <w:left w:val="nil"/>
              <w:bottom w:val="nil"/>
              <w:right w:val="nil"/>
            </w:tcBorders>
            <w:vAlign w:val="center"/>
          </w:tcPr>
          <w:p w14:paraId="45FE87E7" w14:textId="77777777" w:rsidR="00575089" w:rsidRPr="00575089" w:rsidRDefault="00575089" w:rsidP="006423CD">
            <w:pPr>
              <w:contextualSpacing/>
              <w:jc w:val="center"/>
              <w:rPr>
                <w:rFonts w:ascii="Palatino Linotype" w:hAnsi="Palatino Linotype"/>
                <w:sz w:val="18"/>
                <w:szCs w:val="18"/>
              </w:rPr>
            </w:pPr>
          </w:p>
        </w:tc>
        <w:tc>
          <w:tcPr>
            <w:tcW w:w="1134" w:type="dxa"/>
            <w:vMerge/>
            <w:tcBorders>
              <w:top w:val="nil"/>
              <w:left w:val="nil"/>
              <w:bottom w:val="nil"/>
              <w:right w:val="nil"/>
            </w:tcBorders>
            <w:vAlign w:val="center"/>
          </w:tcPr>
          <w:p w14:paraId="50B086BA" w14:textId="77777777" w:rsidR="00575089" w:rsidRPr="00575089" w:rsidRDefault="00575089" w:rsidP="006423CD">
            <w:pPr>
              <w:contextualSpacing/>
              <w:jc w:val="center"/>
              <w:rPr>
                <w:rFonts w:ascii="Palatino Linotype" w:hAnsi="Palatino Linotype"/>
                <w:sz w:val="18"/>
                <w:szCs w:val="18"/>
              </w:rPr>
            </w:pPr>
          </w:p>
        </w:tc>
      </w:tr>
      <w:tr w:rsidR="006423CD" w:rsidRPr="00575089" w14:paraId="1A0E43CB" w14:textId="77777777" w:rsidTr="006423CD">
        <w:trPr>
          <w:jc w:val="center"/>
        </w:trPr>
        <w:tc>
          <w:tcPr>
            <w:tcW w:w="1306" w:type="dxa"/>
            <w:vMerge w:val="restart"/>
            <w:tcBorders>
              <w:top w:val="nil"/>
              <w:left w:val="nil"/>
              <w:bottom w:val="nil"/>
              <w:right w:val="nil"/>
            </w:tcBorders>
            <w:shd w:val="clear" w:color="auto" w:fill="auto"/>
            <w:vAlign w:val="center"/>
          </w:tcPr>
          <w:p w14:paraId="2E465D67" w14:textId="77777777" w:rsidR="006423CD" w:rsidRPr="00575089" w:rsidRDefault="006423CD" w:rsidP="00C179A0">
            <w:pPr>
              <w:contextualSpacing/>
              <w:jc w:val="center"/>
              <w:rPr>
                <w:rFonts w:ascii="Palatino Linotype" w:hAnsi="Palatino Linotype"/>
                <w:b/>
                <w:bCs/>
                <w:sz w:val="18"/>
                <w:szCs w:val="18"/>
              </w:rPr>
            </w:pPr>
            <w:r w:rsidRPr="00575089">
              <w:rPr>
                <w:rFonts w:ascii="Palatino Linotype" w:hAnsi="Palatino Linotype"/>
                <w:b/>
                <w:bCs/>
                <w:sz w:val="18"/>
                <w:szCs w:val="18"/>
              </w:rPr>
              <w:t>SC</w:t>
            </w:r>
          </w:p>
        </w:tc>
        <w:tc>
          <w:tcPr>
            <w:tcW w:w="1433" w:type="dxa"/>
            <w:tcBorders>
              <w:top w:val="nil"/>
              <w:left w:val="nil"/>
              <w:bottom w:val="nil"/>
              <w:right w:val="nil"/>
            </w:tcBorders>
            <w:vAlign w:val="center"/>
          </w:tcPr>
          <w:p w14:paraId="5C79F422" w14:textId="77777777" w:rsidR="006423CD" w:rsidRPr="00575089" w:rsidRDefault="006423CD" w:rsidP="00C179A0">
            <w:pPr>
              <w:contextualSpacing/>
              <w:jc w:val="center"/>
              <w:rPr>
                <w:rFonts w:ascii="Palatino Linotype" w:hAnsi="Palatino Linotype"/>
                <w:sz w:val="18"/>
                <w:szCs w:val="18"/>
              </w:rPr>
            </w:pPr>
            <w:r w:rsidRPr="00575089">
              <w:rPr>
                <w:rFonts w:ascii="Palatino Linotype" w:hAnsi="Palatino Linotype"/>
                <w:sz w:val="18"/>
                <w:szCs w:val="18"/>
              </w:rPr>
              <w:t>SC1</w:t>
            </w:r>
          </w:p>
        </w:tc>
        <w:tc>
          <w:tcPr>
            <w:tcW w:w="1644" w:type="dxa"/>
            <w:tcBorders>
              <w:top w:val="nil"/>
              <w:left w:val="nil"/>
              <w:bottom w:val="nil"/>
              <w:right w:val="nil"/>
            </w:tcBorders>
            <w:vAlign w:val="center"/>
          </w:tcPr>
          <w:p w14:paraId="4D97B3A3" w14:textId="77777777" w:rsidR="006423CD" w:rsidRPr="00575089" w:rsidRDefault="006423CD" w:rsidP="00C179A0">
            <w:pPr>
              <w:contextualSpacing/>
              <w:jc w:val="center"/>
              <w:rPr>
                <w:rFonts w:ascii="Palatino Linotype" w:hAnsi="Palatino Linotype"/>
                <w:sz w:val="18"/>
                <w:szCs w:val="18"/>
              </w:rPr>
            </w:pPr>
            <w:r w:rsidRPr="00575089">
              <w:rPr>
                <w:rFonts w:ascii="Palatino Linotype" w:hAnsi="Palatino Linotype"/>
                <w:sz w:val="18"/>
                <w:szCs w:val="18"/>
              </w:rPr>
              <w:t>0.804</w:t>
            </w:r>
          </w:p>
        </w:tc>
        <w:tc>
          <w:tcPr>
            <w:tcW w:w="1034" w:type="dxa"/>
            <w:vMerge w:val="restart"/>
            <w:tcBorders>
              <w:top w:val="nil"/>
              <w:left w:val="nil"/>
              <w:bottom w:val="nil"/>
              <w:right w:val="nil"/>
            </w:tcBorders>
            <w:vAlign w:val="center"/>
          </w:tcPr>
          <w:p w14:paraId="4FD354A6" w14:textId="77777777" w:rsidR="006423CD" w:rsidRPr="00575089" w:rsidRDefault="006423CD" w:rsidP="006423CD">
            <w:pPr>
              <w:contextualSpacing/>
              <w:jc w:val="center"/>
              <w:rPr>
                <w:rFonts w:ascii="Palatino Linotype" w:hAnsi="Palatino Linotype"/>
                <w:sz w:val="18"/>
                <w:szCs w:val="18"/>
              </w:rPr>
            </w:pPr>
            <w:r w:rsidRPr="00575089">
              <w:rPr>
                <w:rFonts w:ascii="Palatino Linotype" w:hAnsi="Palatino Linotype"/>
                <w:sz w:val="18"/>
                <w:szCs w:val="18"/>
              </w:rPr>
              <w:t>0.722</w:t>
            </w:r>
          </w:p>
        </w:tc>
        <w:tc>
          <w:tcPr>
            <w:tcW w:w="1134" w:type="dxa"/>
            <w:vMerge w:val="restart"/>
            <w:tcBorders>
              <w:top w:val="nil"/>
              <w:left w:val="nil"/>
              <w:bottom w:val="nil"/>
              <w:right w:val="nil"/>
            </w:tcBorders>
            <w:vAlign w:val="center"/>
          </w:tcPr>
          <w:p w14:paraId="79633560" w14:textId="77777777" w:rsidR="006423CD" w:rsidRPr="00575089" w:rsidRDefault="006423CD" w:rsidP="006423CD">
            <w:pPr>
              <w:contextualSpacing/>
              <w:jc w:val="center"/>
              <w:rPr>
                <w:rFonts w:ascii="Palatino Linotype" w:hAnsi="Palatino Linotype"/>
                <w:sz w:val="18"/>
                <w:szCs w:val="18"/>
              </w:rPr>
            </w:pPr>
            <w:r w:rsidRPr="00575089">
              <w:rPr>
                <w:rFonts w:ascii="Palatino Linotype" w:hAnsi="Palatino Linotype"/>
                <w:sz w:val="18"/>
                <w:szCs w:val="18"/>
              </w:rPr>
              <w:t>0.865</w:t>
            </w:r>
          </w:p>
        </w:tc>
        <w:tc>
          <w:tcPr>
            <w:tcW w:w="1134" w:type="dxa"/>
            <w:vMerge w:val="restart"/>
            <w:tcBorders>
              <w:top w:val="nil"/>
              <w:left w:val="nil"/>
              <w:bottom w:val="nil"/>
              <w:right w:val="nil"/>
            </w:tcBorders>
            <w:vAlign w:val="center"/>
          </w:tcPr>
          <w:p w14:paraId="6E03923E" w14:textId="77777777" w:rsidR="006423CD" w:rsidRPr="00575089" w:rsidRDefault="006423CD" w:rsidP="006423CD">
            <w:pPr>
              <w:contextualSpacing/>
              <w:jc w:val="center"/>
              <w:rPr>
                <w:rFonts w:ascii="Palatino Linotype" w:hAnsi="Palatino Linotype"/>
                <w:sz w:val="18"/>
                <w:szCs w:val="18"/>
              </w:rPr>
            </w:pPr>
            <w:r w:rsidRPr="00575089">
              <w:rPr>
                <w:rFonts w:ascii="Palatino Linotype" w:hAnsi="Palatino Linotype"/>
                <w:sz w:val="18"/>
                <w:szCs w:val="18"/>
              </w:rPr>
              <w:t>0.899</w:t>
            </w:r>
          </w:p>
        </w:tc>
      </w:tr>
      <w:tr w:rsidR="006423CD" w:rsidRPr="00575089" w14:paraId="47809E32" w14:textId="77777777" w:rsidTr="006423CD">
        <w:trPr>
          <w:jc w:val="center"/>
        </w:trPr>
        <w:tc>
          <w:tcPr>
            <w:tcW w:w="1306" w:type="dxa"/>
            <w:vMerge/>
            <w:tcBorders>
              <w:top w:val="nil"/>
              <w:left w:val="nil"/>
              <w:bottom w:val="nil"/>
              <w:right w:val="nil"/>
            </w:tcBorders>
            <w:shd w:val="clear" w:color="auto" w:fill="auto"/>
          </w:tcPr>
          <w:p w14:paraId="304B928C" w14:textId="77777777" w:rsidR="006423CD" w:rsidRPr="00575089" w:rsidRDefault="006423CD" w:rsidP="00C179A0">
            <w:pPr>
              <w:contextualSpacing/>
              <w:jc w:val="center"/>
              <w:rPr>
                <w:rFonts w:ascii="Palatino Linotype" w:hAnsi="Palatino Linotype"/>
                <w:b/>
                <w:bCs/>
                <w:sz w:val="18"/>
                <w:szCs w:val="18"/>
              </w:rPr>
            </w:pPr>
          </w:p>
        </w:tc>
        <w:tc>
          <w:tcPr>
            <w:tcW w:w="1433" w:type="dxa"/>
            <w:tcBorders>
              <w:top w:val="nil"/>
              <w:left w:val="nil"/>
              <w:bottom w:val="nil"/>
              <w:right w:val="nil"/>
            </w:tcBorders>
            <w:vAlign w:val="center"/>
          </w:tcPr>
          <w:p w14:paraId="5E41C97E" w14:textId="77777777" w:rsidR="006423CD" w:rsidRPr="00575089" w:rsidRDefault="006423CD" w:rsidP="00C179A0">
            <w:pPr>
              <w:contextualSpacing/>
              <w:jc w:val="center"/>
              <w:rPr>
                <w:rFonts w:ascii="Palatino Linotype" w:hAnsi="Palatino Linotype"/>
                <w:sz w:val="18"/>
                <w:szCs w:val="18"/>
              </w:rPr>
            </w:pPr>
            <w:r w:rsidRPr="00575089">
              <w:rPr>
                <w:rFonts w:ascii="Palatino Linotype" w:hAnsi="Palatino Linotype"/>
                <w:sz w:val="18"/>
                <w:szCs w:val="18"/>
              </w:rPr>
              <w:t>SC2</w:t>
            </w:r>
          </w:p>
        </w:tc>
        <w:tc>
          <w:tcPr>
            <w:tcW w:w="1644" w:type="dxa"/>
            <w:tcBorders>
              <w:top w:val="nil"/>
              <w:left w:val="nil"/>
              <w:bottom w:val="nil"/>
              <w:right w:val="nil"/>
            </w:tcBorders>
            <w:vAlign w:val="center"/>
          </w:tcPr>
          <w:p w14:paraId="1CDBCF4D" w14:textId="77777777" w:rsidR="006423CD" w:rsidRPr="00575089" w:rsidRDefault="006423CD" w:rsidP="00C179A0">
            <w:pPr>
              <w:contextualSpacing/>
              <w:jc w:val="center"/>
              <w:rPr>
                <w:rFonts w:ascii="Palatino Linotype" w:hAnsi="Palatino Linotype"/>
                <w:sz w:val="18"/>
                <w:szCs w:val="18"/>
              </w:rPr>
            </w:pPr>
            <w:r w:rsidRPr="00575089">
              <w:rPr>
                <w:rFonts w:ascii="Palatino Linotype" w:hAnsi="Palatino Linotype"/>
                <w:sz w:val="18"/>
                <w:szCs w:val="18"/>
              </w:rPr>
              <w:t>0.912</w:t>
            </w:r>
          </w:p>
        </w:tc>
        <w:tc>
          <w:tcPr>
            <w:tcW w:w="1034" w:type="dxa"/>
            <w:vMerge/>
            <w:tcBorders>
              <w:top w:val="nil"/>
              <w:left w:val="nil"/>
              <w:bottom w:val="nil"/>
              <w:right w:val="nil"/>
            </w:tcBorders>
            <w:vAlign w:val="center"/>
          </w:tcPr>
          <w:p w14:paraId="37AC7F5C" w14:textId="77777777" w:rsidR="006423CD" w:rsidRPr="00575089" w:rsidRDefault="006423CD" w:rsidP="006423CD">
            <w:pPr>
              <w:contextualSpacing/>
              <w:jc w:val="center"/>
              <w:rPr>
                <w:rFonts w:ascii="Palatino Linotype" w:hAnsi="Palatino Linotype"/>
                <w:sz w:val="18"/>
                <w:szCs w:val="18"/>
              </w:rPr>
            </w:pPr>
          </w:p>
        </w:tc>
        <w:tc>
          <w:tcPr>
            <w:tcW w:w="1134" w:type="dxa"/>
            <w:vMerge/>
            <w:tcBorders>
              <w:top w:val="nil"/>
              <w:left w:val="nil"/>
              <w:bottom w:val="nil"/>
              <w:right w:val="nil"/>
            </w:tcBorders>
            <w:vAlign w:val="center"/>
          </w:tcPr>
          <w:p w14:paraId="6F9EC3B6" w14:textId="77777777" w:rsidR="006423CD" w:rsidRPr="00575089" w:rsidRDefault="006423CD" w:rsidP="006423CD">
            <w:pPr>
              <w:contextualSpacing/>
              <w:jc w:val="center"/>
              <w:rPr>
                <w:rFonts w:ascii="Palatino Linotype" w:hAnsi="Palatino Linotype"/>
                <w:sz w:val="18"/>
                <w:szCs w:val="18"/>
              </w:rPr>
            </w:pPr>
          </w:p>
        </w:tc>
        <w:tc>
          <w:tcPr>
            <w:tcW w:w="1134" w:type="dxa"/>
            <w:vMerge/>
            <w:tcBorders>
              <w:top w:val="nil"/>
              <w:left w:val="nil"/>
              <w:bottom w:val="nil"/>
              <w:right w:val="nil"/>
            </w:tcBorders>
            <w:vAlign w:val="center"/>
          </w:tcPr>
          <w:p w14:paraId="38C70E69" w14:textId="77777777" w:rsidR="006423CD" w:rsidRPr="00575089" w:rsidRDefault="006423CD" w:rsidP="006423CD">
            <w:pPr>
              <w:contextualSpacing/>
              <w:jc w:val="center"/>
              <w:rPr>
                <w:rFonts w:ascii="Palatino Linotype" w:hAnsi="Palatino Linotype"/>
                <w:sz w:val="18"/>
                <w:szCs w:val="18"/>
              </w:rPr>
            </w:pPr>
          </w:p>
        </w:tc>
      </w:tr>
      <w:tr w:rsidR="006423CD" w:rsidRPr="00575089" w14:paraId="41932D1E" w14:textId="77777777" w:rsidTr="006423CD">
        <w:trPr>
          <w:jc w:val="center"/>
        </w:trPr>
        <w:tc>
          <w:tcPr>
            <w:tcW w:w="1306" w:type="dxa"/>
            <w:vMerge/>
            <w:tcBorders>
              <w:top w:val="nil"/>
              <w:left w:val="nil"/>
              <w:bottom w:val="nil"/>
              <w:right w:val="nil"/>
            </w:tcBorders>
            <w:shd w:val="clear" w:color="auto" w:fill="auto"/>
          </w:tcPr>
          <w:p w14:paraId="2C41CC04" w14:textId="77777777" w:rsidR="006423CD" w:rsidRPr="00575089" w:rsidRDefault="006423CD" w:rsidP="00C179A0">
            <w:pPr>
              <w:contextualSpacing/>
              <w:jc w:val="center"/>
              <w:rPr>
                <w:rFonts w:ascii="Palatino Linotype" w:hAnsi="Palatino Linotype"/>
                <w:b/>
                <w:bCs/>
                <w:sz w:val="18"/>
                <w:szCs w:val="18"/>
              </w:rPr>
            </w:pPr>
          </w:p>
        </w:tc>
        <w:tc>
          <w:tcPr>
            <w:tcW w:w="1433" w:type="dxa"/>
            <w:tcBorders>
              <w:top w:val="nil"/>
              <w:left w:val="nil"/>
              <w:bottom w:val="nil"/>
              <w:right w:val="nil"/>
            </w:tcBorders>
            <w:vAlign w:val="center"/>
          </w:tcPr>
          <w:p w14:paraId="733C85D9" w14:textId="77777777" w:rsidR="006423CD" w:rsidRPr="00575089" w:rsidRDefault="006423CD" w:rsidP="00C179A0">
            <w:pPr>
              <w:contextualSpacing/>
              <w:jc w:val="center"/>
              <w:rPr>
                <w:rFonts w:ascii="Palatino Linotype" w:hAnsi="Palatino Linotype"/>
                <w:sz w:val="18"/>
                <w:szCs w:val="18"/>
              </w:rPr>
            </w:pPr>
            <w:r w:rsidRPr="00575089">
              <w:rPr>
                <w:rFonts w:ascii="Palatino Linotype" w:hAnsi="Palatino Linotype"/>
                <w:sz w:val="18"/>
                <w:szCs w:val="18"/>
              </w:rPr>
              <w:t>SC3</w:t>
            </w:r>
          </w:p>
        </w:tc>
        <w:tc>
          <w:tcPr>
            <w:tcW w:w="1644" w:type="dxa"/>
            <w:tcBorders>
              <w:top w:val="nil"/>
              <w:left w:val="nil"/>
              <w:bottom w:val="nil"/>
              <w:right w:val="nil"/>
            </w:tcBorders>
            <w:vAlign w:val="center"/>
          </w:tcPr>
          <w:p w14:paraId="73E7D236" w14:textId="77777777" w:rsidR="006423CD" w:rsidRPr="00575089" w:rsidRDefault="006423CD" w:rsidP="00C179A0">
            <w:pPr>
              <w:contextualSpacing/>
              <w:jc w:val="center"/>
              <w:rPr>
                <w:rFonts w:ascii="Palatino Linotype" w:hAnsi="Palatino Linotype"/>
                <w:sz w:val="18"/>
                <w:szCs w:val="18"/>
              </w:rPr>
            </w:pPr>
            <w:r w:rsidRPr="00575089">
              <w:rPr>
                <w:rFonts w:ascii="Palatino Linotype" w:hAnsi="Palatino Linotype"/>
                <w:sz w:val="18"/>
                <w:szCs w:val="18"/>
              </w:rPr>
              <w:t>0.873</w:t>
            </w:r>
          </w:p>
        </w:tc>
        <w:tc>
          <w:tcPr>
            <w:tcW w:w="1034" w:type="dxa"/>
            <w:vMerge/>
            <w:tcBorders>
              <w:top w:val="nil"/>
              <w:left w:val="nil"/>
              <w:bottom w:val="nil"/>
              <w:right w:val="nil"/>
            </w:tcBorders>
            <w:vAlign w:val="center"/>
          </w:tcPr>
          <w:p w14:paraId="1F784F8A" w14:textId="77777777" w:rsidR="006423CD" w:rsidRPr="00575089" w:rsidRDefault="006423CD" w:rsidP="006423CD">
            <w:pPr>
              <w:contextualSpacing/>
              <w:jc w:val="center"/>
              <w:rPr>
                <w:rFonts w:ascii="Palatino Linotype" w:hAnsi="Palatino Linotype"/>
                <w:sz w:val="18"/>
                <w:szCs w:val="18"/>
              </w:rPr>
            </w:pPr>
          </w:p>
        </w:tc>
        <w:tc>
          <w:tcPr>
            <w:tcW w:w="1134" w:type="dxa"/>
            <w:vMerge/>
            <w:tcBorders>
              <w:top w:val="nil"/>
              <w:left w:val="nil"/>
              <w:bottom w:val="nil"/>
              <w:right w:val="nil"/>
            </w:tcBorders>
            <w:vAlign w:val="center"/>
          </w:tcPr>
          <w:p w14:paraId="65902697" w14:textId="77777777" w:rsidR="006423CD" w:rsidRPr="00575089" w:rsidRDefault="006423CD" w:rsidP="006423CD">
            <w:pPr>
              <w:contextualSpacing/>
              <w:jc w:val="center"/>
              <w:rPr>
                <w:rFonts w:ascii="Palatino Linotype" w:hAnsi="Palatino Linotype"/>
                <w:sz w:val="18"/>
                <w:szCs w:val="18"/>
              </w:rPr>
            </w:pPr>
          </w:p>
        </w:tc>
        <w:tc>
          <w:tcPr>
            <w:tcW w:w="1134" w:type="dxa"/>
            <w:vMerge/>
            <w:tcBorders>
              <w:top w:val="nil"/>
              <w:left w:val="nil"/>
              <w:bottom w:val="nil"/>
              <w:right w:val="nil"/>
            </w:tcBorders>
            <w:vAlign w:val="center"/>
          </w:tcPr>
          <w:p w14:paraId="6625574E" w14:textId="77777777" w:rsidR="006423CD" w:rsidRPr="00575089" w:rsidRDefault="006423CD" w:rsidP="006423CD">
            <w:pPr>
              <w:contextualSpacing/>
              <w:jc w:val="center"/>
              <w:rPr>
                <w:rFonts w:ascii="Palatino Linotype" w:hAnsi="Palatino Linotype"/>
                <w:sz w:val="18"/>
                <w:szCs w:val="18"/>
              </w:rPr>
            </w:pPr>
          </w:p>
        </w:tc>
      </w:tr>
      <w:tr w:rsidR="006423CD" w:rsidRPr="00575089" w14:paraId="0378B6F3" w14:textId="77777777" w:rsidTr="006423CD">
        <w:trPr>
          <w:jc w:val="center"/>
        </w:trPr>
        <w:tc>
          <w:tcPr>
            <w:tcW w:w="1306" w:type="dxa"/>
            <w:vMerge/>
            <w:tcBorders>
              <w:top w:val="nil"/>
              <w:left w:val="nil"/>
              <w:bottom w:val="nil"/>
              <w:right w:val="nil"/>
            </w:tcBorders>
            <w:shd w:val="clear" w:color="auto" w:fill="auto"/>
          </w:tcPr>
          <w:p w14:paraId="4636B350" w14:textId="77777777" w:rsidR="006423CD" w:rsidRPr="00575089" w:rsidRDefault="006423CD" w:rsidP="00C179A0">
            <w:pPr>
              <w:contextualSpacing/>
              <w:jc w:val="center"/>
              <w:rPr>
                <w:rFonts w:ascii="Palatino Linotype" w:hAnsi="Palatino Linotype"/>
                <w:b/>
                <w:bCs/>
                <w:sz w:val="18"/>
                <w:szCs w:val="18"/>
              </w:rPr>
            </w:pPr>
          </w:p>
        </w:tc>
        <w:tc>
          <w:tcPr>
            <w:tcW w:w="1433" w:type="dxa"/>
            <w:tcBorders>
              <w:top w:val="nil"/>
              <w:left w:val="nil"/>
              <w:bottom w:val="nil"/>
              <w:right w:val="nil"/>
            </w:tcBorders>
            <w:vAlign w:val="center"/>
          </w:tcPr>
          <w:p w14:paraId="3B89CE9E" w14:textId="77777777" w:rsidR="006423CD" w:rsidRPr="00575089" w:rsidRDefault="006423CD" w:rsidP="00C179A0">
            <w:pPr>
              <w:contextualSpacing/>
              <w:jc w:val="center"/>
              <w:rPr>
                <w:rFonts w:ascii="Palatino Linotype" w:hAnsi="Palatino Linotype"/>
                <w:sz w:val="18"/>
                <w:szCs w:val="18"/>
              </w:rPr>
            </w:pPr>
            <w:r w:rsidRPr="00575089">
              <w:rPr>
                <w:rFonts w:ascii="Palatino Linotype" w:hAnsi="Palatino Linotype"/>
                <w:sz w:val="18"/>
                <w:szCs w:val="18"/>
              </w:rPr>
              <w:t>SC4</w:t>
            </w:r>
          </w:p>
        </w:tc>
        <w:tc>
          <w:tcPr>
            <w:tcW w:w="1644" w:type="dxa"/>
            <w:tcBorders>
              <w:top w:val="nil"/>
              <w:left w:val="nil"/>
              <w:bottom w:val="nil"/>
              <w:right w:val="nil"/>
            </w:tcBorders>
            <w:vAlign w:val="center"/>
          </w:tcPr>
          <w:p w14:paraId="30C852F9" w14:textId="77777777" w:rsidR="006423CD" w:rsidRPr="00575089" w:rsidRDefault="006423CD" w:rsidP="00C179A0">
            <w:pPr>
              <w:contextualSpacing/>
              <w:jc w:val="center"/>
              <w:rPr>
                <w:rFonts w:ascii="Palatino Linotype" w:hAnsi="Palatino Linotype"/>
                <w:sz w:val="18"/>
                <w:szCs w:val="18"/>
              </w:rPr>
            </w:pPr>
            <w:r w:rsidRPr="00575089">
              <w:rPr>
                <w:rFonts w:ascii="Palatino Linotype" w:hAnsi="Palatino Linotype"/>
                <w:sz w:val="18"/>
                <w:szCs w:val="18"/>
              </w:rPr>
              <w:t>0.805</w:t>
            </w:r>
          </w:p>
        </w:tc>
        <w:tc>
          <w:tcPr>
            <w:tcW w:w="1034" w:type="dxa"/>
            <w:vMerge/>
            <w:tcBorders>
              <w:top w:val="nil"/>
              <w:left w:val="nil"/>
              <w:bottom w:val="nil"/>
              <w:right w:val="nil"/>
            </w:tcBorders>
            <w:vAlign w:val="center"/>
          </w:tcPr>
          <w:p w14:paraId="1023F08E" w14:textId="77777777" w:rsidR="006423CD" w:rsidRPr="00575089" w:rsidRDefault="006423CD" w:rsidP="006423CD">
            <w:pPr>
              <w:contextualSpacing/>
              <w:jc w:val="center"/>
              <w:rPr>
                <w:rFonts w:ascii="Palatino Linotype" w:hAnsi="Palatino Linotype"/>
                <w:sz w:val="18"/>
                <w:szCs w:val="18"/>
              </w:rPr>
            </w:pPr>
          </w:p>
        </w:tc>
        <w:tc>
          <w:tcPr>
            <w:tcW w:w="1134" w:type="dxa"/>
            <w:vMerge/>
            <w:tcBorders>
              <w:top w:val="nil"/>
              <w:left w:val="nil"/>
              <w:bottom w:val="nil"/>
              <w:right w:val="nil"/>
            </w:tcBorders>
            <w:vAlign w:val="center"/>
          </w:tcPr>
          <w:p w14:paraId="4DD01FBF" w14:textId="77777777" w:rsidR="006423CD" w:rsidRPr="00575089" w:rsidRDefault="006423CD" w:rsidP="006423CD">
            <w:pPr>
              <w:contextualSpacing/>
              <w:jc w:val="center"/>
              <w:rPr>
                <w:rFonts w:ascii="Palatino Linotype" w:hAnsi="Palatino Linotype"/>
                <w:sz w:val="18"/>
                <w:szCs w:val="18"/>
              </w:rPr>
            </w:pPr>
          </w:p>
        </w:tc>
        <w:tc>
          <w:tcPr>
            <w:tcW w:w="1134" w:type="dxa"/>
            <w:vMerge/>
            <w:tcBorders>
              <w:top w:val="nil"/>
              <w:left w:val="nil"/>
              <w:bottom w:val="nil"/>
              <w:right w:val="nil"/>
            </w:tcBorders>
            <w:vAlign w:val="center"/>
          </w:tcPr>
          <w:p w14:paraId="445ECA03" w14:textId="77777777" w:rsidR="006423CD" w:rsidRPr="00575089" w:rsidRDefault="006423CD" w:rsidP="006423CD">
            <w:pPr>
              <w:contextualSpacing/>
              <w:jc w:val="center"/>
              <w:rPr>
                <w:rFonts w:ascii="Palatino Linotype" w:hAnsi="Palatino Linotype"/>
                <w:sz w:val="18"/>
                <w:szCs w:val="18"/>
              </w:rPr>
            </w:pPr>
          </w:p>
        </w:tc>
      </w:tr>
      <w:tr w:rsidR="006423CD" w:rsidRPr="00575089" w14:paraId="55621F92" w14:textId="77777777" w:rsidTr="006423CD">
        <w:trPr>
          <w:jc w:val="center"/>
        </w:trPr>
        <w:tc>
          <w:tcPr>
            <w:tcW w:w="1306" w:type="dxa"/>
            <w:vMerge w:val="restart"/>
            <w:tcBorders>
              <w:top w:val="nil"/>
              <w:left w:val="nil"/>
              <w:bottom w:val="nil"/>
              <w:right w:val="nil"/>
            </w:tcBorders>
            <w:shd w:val="clear" w:color="auto" w:fill="auto"/>
            <w:vAlign w:val="center"/>
          </w:tcPr>
          <w:p w14:paraId="490F444B" w14:textId="77777777" w:rsidR="006423CD" w:rsidRPr="00575089" w:rsidRDefault="006423CD" w:rsidP="00C179A0">
            <w:pPr>
              <w:contextualSpacing/>
              <w:jc w:val="center"/>
              <w:rPr>
                <w:rFonts w:ascii="Palatino Linotype" w:hAnsi="Palatino Linotype"/>
                <w:b/>
                <w:bCs/>
                <w:iCs/>
                <w:sz w:val="18"/>
                <w:szCs w:val="18"/>
              </w:rPr>
            </w:pPr>
            <w:r w:rsidRPr="00575089">
              <w:rPr>
                <w:rFonts w:ascii="Palatino Linotype" w:hAnsi="Palatino Linotype"/>
                <w:b/>
                <w:bCs/>
                <w:iCs/>
                <w:sz w:val="18"/>
                <w:szCs w:val="18"/>
              </w:rPr>
              <w:t>TL</w:t>
            </w:r>
          </w:p>
        </w:tc>
        <w:tc>
          <w:tcPr>
            <w:tcW w:w="1433" w:type="dxa"/>
            <w:tcBorders>
              <w:top w:val="nil"/>
              <w:left w:val="nil"/>
              <w:bottom w:val="nil"/>
              <w:right w:val="nil"/>
            </w:tcBorders>
            <w:vAlign w:val="center"/>
          </w:tcPr>
          <w:p w14:paraId="69BBDE0A" w14:textId="77777777" w:rsidR="006423CD" w:rsidRPr="00575089" w:rsidRDefault="006423CD" w:rsidP="00C179A0">
            <w:pPr>
              <w:contextualSpacing/>
              <w:jc w:val="center"/>
              <w:rPr>
                <w:rFonts w:ascii="Palatino Linotype" w:hAnsi="Palatino Linotype"/>
                <w:sz w:val="18"/>
                <w:szCs w:val="18"/>
              </w:rPr>
            </w:pPr>
            <w:r w:rsidRPr="00575089">
              <w:rPr>
                <w:rFonts w:ascii="Palatino Linotype" w:hAnsi="Palatino Linotype"/>
                <w:sz w:val="18"/>
                <w:szCs w:val="18"/>
              </w:rPr>
              <w:t>TL1</w:t>
            </w:r>
          </w:p>
        </w:tc>
        <w:tc>
          <w:tcPr>
            <w:tcW w:w="1644" w:type="dxa"/>
            <w:tcBorders>
              <w:top w:val="nil"/>
              <w:left w:val="nil"/>
              <w:bottom w:val="nil"/>
              <w:right w:val="nil"/>
            </w:tcBorders>
            <w:vAlign w:val="center"/>
          </w:tcPr>
          <w:p w14:paraId="67421BF1" w14:textId="77777777" w:rsidR="006423CD" w:rsidRPr="00575089" w:rsidRDefault="006423CD" w:rsidP="00C179A0">
            <w:pPr>
              <w:contextualSpacing/>
              <w:jc w:val="center"/>
              <w:rPr>
                <w:rFonts w:ascii="Palatino Linotype" w:hAnsi="Palatino Linotype"/>
                <w:sz w:val="18"/>
                <w:szCs w:val="18"/>
              </w:rPr>
            </w:pPr>
            <w:r w:rsidRPr="00575089">
              <w:rPr>
                <w:rFonts w:ascii="Palatino Linotype" w:hAnsi="Palatino Linotype"/>
                <w:sz w:val="18"/>
                <w:szCs w:val="18"/>
              </w:rPr>
              <w:t>0.939</w:t>
            </w:r>
          </w:p>
        </w:tc>
        <w:tc>
          <w:tcPr>
            <w:tcW w:w="1034" w:type="dxa"/>
            <w:vMerge w:val="restart"/>
            <w:tcBorders>
              <w:top w:val="nil"/>
              <w:left w:val="nil"/>
              <w:bottom w:val="nil"/>
              <w:right w:val="nil"/>
            </w:tcBorders>
            <w:vAlign w:val="center"/>
          </w:tcPr>
          <w:p w14:paraId="6E36E57C" w14:textId="77777777" w:rsidR="006423CD" w:rsidRPr="00575089" w:rsidRDefault="006423CD" w:rsidP="006423CD">
            <w:pPr>
              <w:contextualSpacing/>
              <w:jc w:val="center"/>
              <w:rPr>
                <w:rFonts w:ascii="Palatino Linotype" w:hAnsi="Palatino Linotype"/>
                <w:sz w:val="18"/>
                <w:szCs w:val="18"/>
              </w:rPr>
            </w:pPr>
            <w:r w:rsidRPr="00575089">
              <w:rPr>
                <w:rFonts w:ascii="Palatino Linotype" w:hAnsi="Palatino Linotype"/>
                <w:sz w:val="18"/>
                <w:szCs w:val="18"/>
              </w:rPr>
              <w:t>0.838</w:t>
            </w:r>
          </w:p>
        </w:tc>
        <w:tc>
          <w:tcPr>
            <w:tcW w:w="1134" w:type="dxa"/>
            <w:vMerge w:val="restart"/>
            <w:tcBorders>
              <w:top w:val="nil"/>
              <w:left w:val="nil"/>
              <w:bottom w:val="nil"/>
              <w:right w:val="nil"/>
            </w:tcBorders>
            <w:vAlign w:val="center"/>
          </w:tcPr>
          <w:p w14:paraId="4B0EA654" w14:textId="77777777" w:rsidR="006423CD" w:rsidRPr="00575089" w:rsidRDefault="006423CD" w:rsidP="006423CD">
            <w:pPr>
              <w:contextualSpacing/>
              <w:jc w:val="center"/>
              <w:rPr>
                <w:rFonts w:ascii="Palatino Linotype" w:hAnsi="Palatino Linotype"/>
                <w:sz w:val="18"/>
                <w:szCs w:val="18"/>
              </w:rPr>
            </w:pPr>
            <w:r w:rsidRPr="00575089">
              <w:rPr>
                <w:rFonts w:ascii="Palatino Linotype" w:hAnsi="Palatino Linotype"/>
                <w:sz w:val="18"/>
                <w:szCs w:val="18"/>
              </w:rPr>
              <w:t>0.926</w:t>
            </w:r>
          </w:p>
        </w:tc>
        <w:tc>
          <w:tcPr>
            <w:tcW w:w="1134" w:type="dxa"/>
            <w:vMerge w:val="restart"/>
            <w:tcBorders>
              <w:top w:val="nil"/>
              <w:left w:val="nil"/>
              <w:bottom w:val="nil"/>
              <w:right w:val="nil"/>
            </w:tcBorders>
            <w:vAlign w:val="center"/>
          </w:tcPr>
          <w:p w14:paraId="0C0FCE18" w14:textId="77777777" w:rsidR="006423CD" w:rsidRPr="00575089" w:rsidRDefault="006423CD" w:rsidP="006423CD">
            <w:pPr>
              <w:contextualSpacing/>
              <w:jc w:val="center"/>
              <w:rPr>
                <w:rFonts w:ascii="Palatino Linotype" w:hAnsi="Palatino Linotype"/>
                <w:sz w:val="18"/>
                <w:szCs w:val="18"/>
              </w:rPr>
            </w:pPr>
            <w:r w:rsidRPr="00575089">
              <w:rPr>
                <w:rFonts w:ascii="Palatino Linotype" w:hAnsi="Palatino Linotype"/>
                <w:sz w:val="18"/>
                <w:szCs w:val="18"/>
              </w:rPr>
              <w:t>0.938</w:t>
            </w:r>
          </w:p>
        </w:tc>
      </w:tr>
      <w:tr w:rsidR="006423CD" w:rsidRPr="00575089" w14:paraId="7B68A511" w14:textId="77777777" w:rsidTr="006423CD">
        <w:trPr>
          <w:jc w:val="center"/>
        </w:trPr>
        <w:tc>
          <w:tcPr>
            <w:tcW w:w="1306" w:type="dxa"/>
            <w:vMerge/>
            <w:tcBorders>
              <w:top w:val="nil"/>
              <w:left w:val="nil"/>
              <w:bottom w:val="nil"/>
              <w:right w:val="nil"/>
            </w:tcBorders>
          </w:tcPr>
          <w:p w14:paraId="30620E5D" w14:textId="77777777" w:rsidR="006423CD" w:rsidRPr="00575089" w:rsidRDefault="006423CD" w:rsidP="00C179A0">
            <w:pPr>
              <w:contextualSpacing/>
              <w:jc w:val="center"/>
              <w:rPr>
                <w:rFonts w:ascii="Palatino Linotype" w:hAnsi="Palatino Linotype"/>
                <w:b/>
                <w:bCs/>
                <w:sz w:val="18"/>
                <w:szCs w:val="18"/>
              </w:rPr>
            </w:pPr>
          </w:p>
        </w:tc>
        <w:tc>
          <w:tcPr>
            <w:tcW w:w="1433" w:type="dxa"/>
            <w:tcBorders>
              <w:top w:val="nil"/>
              <w:left w:val="nil"/>
              <w:bottom w:val="nil"/>
              <w:right w:val="nil"/>
            </w:tcBorders>
            <w:vAlign w:val="center"/>
          </w:tcPr>
          <w:p w14:paraId="3CCDD5F5" w14:textId="77777777" w:rsidR="006423CD" w:rsidRPr="00575089" w:rsidRDefault="006423CD" w:rsidP="00C179A0">
            <w:pPr>
              <w:contextualSpacing/>
              <w:jc w:val="center"/>
              <w:rPr>
                <w:rFonts w:ascii="Palatino Linotype" w:hAnsi="Palatino Linotype"/>
                <w:sz w:val="18"/>
                <w:szCs w:val="18"/>
              </w:rPr>
            </w:pPr>
            <w:r w:rsidRPr="00575089">
              <w:rPr>
                <w:rFonts w:ascii="Palatino Linotype" w:hAnsi="Palatino Linotype"/>
                <w:sz w:val="18"/>
                <w:szCs w:val="18"/>
              </w:rPr>
              <w:t>TL2</w:t>
            </w:r>
          </w:p>
        </w:tc>
        <w:tc>
          <w:tcPr>
            <w:tcW w:w="1644" w:type="dxa"/>
            <w:tcBorders>
              <w:top w:val="nil"/>
              <w:left w:val="nil"/>
              <w:bottom w:val="nil"/>
              <w:right w:val="nil"/>
            </w:tcBorders>
            <w:vAlign w:val="center"/>
          </w:tcPr>
          <w:p w14:paraId="3F95FF7B" w14:textId="77777777" w:rsidR="006423CD" w:rsidRPr="00575089" w:rsidRDefault="006423CD" w:rsidP="00C179A0">
            <w:pPr>
              <w:contextualSpacing/>
              <w:jc w:val="center"/>
              <w:rPr>
                <w:rFonts w:ascii="Palatino Linotype" w:hAnsi="Palatino Linotype"/>
                <w:sz w:val="18"/>
                <w:szCs w:val="18"/>
              </w:rPr>
            </w:pPr>
            <w:r w:rsidRPr="00575089">
              <w:rPr>
                <w:rFonts w:ascii="Palatino Linotype" w:hAnsi="Palatino Linotype"/>
                <w:sz w:val="18"/>
                <w:szCs w:val="18"/>
              </w:rPr>
              <w:t>0.940</w:t>
            </w:r>
          </w:p>
        </w:tc>
        <w:tc>
          <w:tcPr>
            <w:tcW w:w="1034" w:type="dxa"/>
            <w:vMerge/>
            <w:tcBorders>
              <w:top w:val="nil"/>
              <w:left w:val="nil"/>
              <w:bottom w:val="nil"/>
              <w:right w:val="nil"/>
            </w:tcBorders>
            <w:vAlign w:val="center"/>
          </w:tcPr>
          <w:p w14:paraId="7876E59A" w14:textId="77777777" w:rsidR="006423CD" w:rsidRPr="00575089" w:rsidRDefault="006423CD" w:rsidP="006423CD">
            <w:pPr>
              <w:contextualSpacing/>
              <w:jc w:val="center"/>
              <w:rPr>
                <w:rFonts w:ascii="Palatino Linotype" w:hAnsi="Palatino Linotype"/>
                <w:sz w:val="18"/>
                <w:szCs w:val="18"/>
              </w:rPr>
            </w:pPr>
          </w:p>
        </w:tc>
        <w:tc>
          <w:tcPr>
            <w:tcW w:w="1134" w:type="dxa"/>
            <w:vMerge/>
            <w:tcBorders>
              <w:top w:val="nil"/>
              <w:left w:val="nil"/>
              <w:bottom w:val="nil"/>
              <w:right w:val="nil"/>
            </w:tcBorders>
            <w:vAlign w:val="center"/>
          </w:tcPr>
          <w:p w14:paraId="04532F92" w14:textId="77777777" w:rsidR="006423CD" w:rsidRPr="00575089" w:rsidRDefault="006423CD" w:rsidP="006423CD">
            <w:pPr>
              <w:contextualSpacing/>
              <w:jc w:val="center"/>
              <w:rPr>
                <w:rFonts w:ascii="Palatino Linotype" w:hAnsi="Palatino Linotype"/>
                <w:sz w:val="18"/>
                <w:szCs w:val="18"/>
              </w:rPr>
            </w:pPr>
          </w:p>
        </w:tc>
        <w:tc>
          <w:tcPr>
            <w:tcW w:w="1134" w:type="dxa"/>
            <w:vMerge/>
            <w:tcBorders>
              <w:top w:val="nil"/>
              <w:left w:val="nil"/>
              <w:bottom w:val="nil"/>
              <w:right w:val="nil"/>
            </w:tcBorders>
            <w:vAlign w:val="center"/>
          </w:tcPr>
          <w:p w14:paraId="0654B9CD" w14:textId="77777777" w:rsidR="006423CD" w:rsidRPr="00575089" w:rsidRDefault="006423CD" w:rsidP="006423CD">
            <w:pPr>
              <w:contextualSpacing/>
              <w:jc w:val="center"/>
              <w:rPr>
                <w:rFonts w:ascii="Palatino Linotype" w:hAnsi="Palatino Linotype"/>
                <w:sz w:val="18"/>
                <w:szCs w:val="18"/>
              </w:rPr>
            </w:pPr>
          </w:p>
        </w:tc>
      </w:tr>
      <w:tr w:rsidR="006423CD" w:rsidRPr="00575089" w14:paraId="1A61EF97" w14:textId="77777777" w:rsidTr="006423CD">
        <w:trPr>
          <w:jc w:val="center"/>
        </w:trPr>
        <w:tc>
          <w:tcPr>
            <w:tcW w:w="1306" w:type="dxa"/>
            <w:vMerge/>
            <w:tcBorders>
              <w:top w:val="nil"/>
              <w:left w:val="nil"/>
              <w:bottom w:val="nil"/>
              <w:right w:val="nil"/>
            </w:tcBorders>
          </w:tcPr>
          <w:p w14:paraId="789174D5" w14:textId="77777777" w:rsidR="006423CD" w:rsidRPr="00575089" w:rsidRDefault="006423CD" w:rsidP="00C179A0">
            <w:pPr>
              <w:contextualSpacing/>
              <w:jc w:val="center"/>
              <w:rPr>
                <w:rFonts w:ascii="Palatino Linotype" w:hAnsi="Palatino Linotype"/>
                <w:b/>
                <w:bCs/>
                <w:sz w:val="18"/>
                <w:szCs w:val="18"/>
              </w:rPr>
            </w:pPr>
          </w:p>
        </w:tc>
        <w:tc>
          <w:tcPr>
            <w:tcW w:w="1433" w:type="dxa"/>
            <w:tcBorders>
              <w:top w:val="nil"/>
              <w:left w:val="nil"/>
              <w:bottom w:val="nil"/>
              <w:right w:val="nil"/>
            </w:tcBorders>
            <w:vAlign w:val="center"/>
          </w:tcPr>
          <w:p w14:paraId="7F3C12BA" w14:textId="77777777" w:rsidR="006423CD" w:rsidRPr="00575089" w:rsidRDefault="006423CD" w:rsidP="00C179A0">
            <w:pPr>
              <w:contextualSpacing/>
              <w:jc w:val="center"/>
              <w:rPr>
                <w:rFonts w:ascii="Palatino Linotype" w:hAnsi="Palatino Linotype"/>
                <w:sz w:val="18"/>
                <w:szCs w:val="18"/>
              </w:rPr>
            </w:pPr>
            <w:r w:rsidRPr="00575089">
              <w:rPr>
                <w:rFonts w:ascii="Palatino Linotype" w:hAnsi="Palatino Linotype"/>
                <w:sz w:val="18"/>
                <w:szCs w:val="18"/>
              </w:rPr>
              <w:t>TL3</w:t>
            </w:r>
          </w:p>
        </w:tc>
        <w:tc>
          <w:tcPr>
            <w:tcW w:w="1644" w:type="dxa"/>
            <w:tcBorders>
              <w:top w:val="nil"/>
              <w:left w:val="nil"/>
              <w:bottom w:val="nil"/>
              <w:right w:val="nil"/>
            </w:tcBorders>
            <w:vAlign w:val="center"/>
          </w:tcPr>
          <w:p w14:paraId="3EA75372" w14:textId="77777777" w:rsidR="006423CD" w:rsidRPr="00575089" w:rsidRDefault="006423CD" w:rsidP="00C179A0">
            <w:pPr>
              <w:contextualSpacing/>
              <w:jc w:val="center"/>
              <w:rPr>
                <w:rFonts w:ascii="Palatino Linotype" w:hAnsi="Palatino Linotype"/>
                <w:sz w:val="18"/>
                <w:szCs w:val="18"/>
              </w:rPr>
            </w:pPr>
            <w:r w:rsidRPr="00575089">
              <w:rPr>
                <w:rFonts w:ascii="Palatino Linotype" w:hAnsi="Palatino Linotype"/>
                <w:sz w:val="18"/>
                <w:szCs w:val="18"/>
              </w:rPr>
              <w:t>0/927</w:t>
            </w:r>
          </w:p>
        </w:tc>
        <w:tc>
          <w:tcPr>
            <w:tcW w:w="1034" w:type="dxa"/>
            <w:vMerge/>
            <w:tcBorders>
              <w:top w:val="nil"/>
              <w:left w:val="nil"/>
              <w:bottom w:val="nil"/>
              <w:right w:val="nil"/>
            </w:tcBorders>
            <w:vAlign w:val="center"/>
          </w:tcPr>
          <w:p w14:paraId="34390937" w14:textId="77777777" w:rsidR="006423CD" w:rsidRPr="00575089" w:rsidRDefault="006423CD" w:rsidP="006423CD">
            <w:pPr>
              <w:contextualSpacing/>
              <w:jc w:val="center"/>
              <w:rPr>
                <w:rFonts w:ascii="Palatino Linotype" w:hAnsi="Palatino Linotype"/>
                <w:sz w:val="18"/>
                <w:szCs w:val="18"/>
              </w:rPr>
            </w:pPr>
          </w:p>
        </w:tc>
        <w:tc>
          <w:tcPr>
            <w:tcW w:w="1134" w:type="dxa"/>
            <w:vMerge/>
            <w:tcBorders>
              <w:top w:val="nil"/>
              <w:left w:val="nil"/>
              <w:bottom w:val="nil"/>
              <w:right w:val="nil"/>
            </w:tcBorders>
            <w:vAlign w:val="center"/>
          </w:tcPr>
          <w:p w14:paraId="0B2363CB" w14:textId="77777777" w:rsidR="006423CD" w:rsidRPr="00575089" w:rsidRDefault="006423CD" w:rsidP="006423CD">
            <w:pPr>
              <w:contextualSpacing/>
              <w:jc w:val="center"/>
              <w:rPr>
                <w:rFonts w:ascii="Palatino Linotype" w:hAnsi="Palatino Linotype"/>
                <w:sz w:val="18"/>
                <w:szCs w:val="18"/>
              </w:rPr>
            </w:pPr>
          </w:p>
        </w:tc>
        <w:tc>
          <w:tcPr>
            <w:tcW w:w="1134" w:type="dxa"/>
            <w:vMerge/>
            <w:tcBorders>
              <w:top w:val="nil"/>
              <w:left w:val="nil"/>
              <w:bottom w:val="nil"/>
              <w:right w:val="nil"/>
            </w:tcBorders>
            <w:vAlign w:val="center"/>
          </w:tcPr>
          <w:p w14:paraId="67B809EE" w14:textId="77777777" w:rsidR="006423CD" w:rsidRPr="00575089" w:rsidRDefault="006423CD" w:rsidP="006423CD">
            <w:pPr>
              <w:contextualSpacing/>
              <w:jc w:val="center"/>
              <w:rPr>
                <w:rFonts w:ascii="Palatino Linotype" w:hAnsi="Palatino Linotype"/>
                <w:sz w:val="18"/>
                <w:szCs w:val="18"/>
              </w:rPr>
            </w:pPr>
          </w:p>
        </w:tc>
      </w:tr>
      <w:tr w:rsidR="006423CD" w:rsidRPr="00575089" w14:paraId="00DE9F6F" w14:textId="77777777" w:rsidTr="006423CD">
        <w:trPr>
          <w:jc w:val="center"/>
        </w:trPr>
        <w:tc>
          <w:tcPr>
            <w:tcW w:w="1306" w:type="dxa"/>
            <w:vMerge/>
            <w:tcBorders>
              <w:top w:val="nil"/>
              <w:left w:val="nil"/>
              <w:bottom w:val="nil"/>
              <w:right w:val="nil"/>
            </w:tcBorders>
          </w:tcPr>
          <w:p w14:paraId="3A313E8F" w14:textId="77777777" w:rsidR="006423CD" w:rsidRPr="00575089" w:rsidRDefault="006423CD" w:rsidP="00C179A0">
            <w:pPr>
              <w:contextualSpacing/>
              <w:jc w:val="center"/>
              <w:rPr>
                <w:rFonts w:ascii="Palatino Linotype" w:hAnsi="Palatino Linotype"/>
                <w:b/>
                <w:bCs/>
                <w:sz w:val="18"/>
                <w:szCs w:val="18"/>
              </w:rPr>
            </w:pPr>
          </w:p>
        </w:tc>
        <w:tc>
          <w:tcPr>
            <w:tcW w:w="1433" w:type="dxa"/>
            <w:tcBorders>
              <w:top w:val="nil"/>
              <w:left w:val="nil"/>
              <w:bottom w:val="nil"/>
              <w:right w:val="nil"/>
            </w:tcBorders>
            <w:vAlign w:val="center"/>
          </w:tcPr>
          <w:p w14:paraId="0E39D177" w14:textId="77777777" w:rsidR="006423CD" w:rsidRPr="00575089" w:rsidRDefault="006423CD" w:rsidP="00C179A0">
            <w:pPr>
              <w:contextualSpacing/>
              <w:jc w:val="center"/>
              <w:rPr>
                <w:rFonts w:ascii="Palatino Linotype" w:hAnsi="Palatino Linotype"/>
                <w:sz w:val="18"/>
                <w:szCs w:val="18"/>
              </w:rPr>
            </w:pPr>
            <w:r w:rsidRPr="00575089">
              <w:rPr>
                <w:rFonts w:ascii="Palatino Linotype" w:hAnsi="Palatino Linotype"/>
                <w:sz w:val="18"/>
                <w:szCs w:val="18"/>
              </w:rPr>
              <w:t>TL4</w:t>
            </w:r>
          </w:p>
        </w:tc>
        <w:tc>
          <w:tcPr>
            <w:tcW w:w="1644" w:type="dxa"/>
            <w:tcBorders>
              <w:top w:val="nil"/>
              <w:left w:val="nil"/>
              <w:bottom w:val="nil"/>
              <w:right w:val="nil"/>
            </w:tcBorders>
            <w:vAlign w:val="center"/>
          </w:tcPr>
          <w:p w14:paraId="5B2569B7" w14:textId="77777777" w:rsidR="006423CD" w:rsidRPr="00575089" w:rsidRDefault="006423CD" w:rsidP="00C179A0">
            <w:pPr>
              <w:contextualSpacing/>
              <w:jc w:val="center"/>
              <w:rPr>
                <w:rFonts w:ascii="Palatino Linotype" w:hAnsi="Palatino Linotype"/>
                <w:sz w:val="18"/>
                <w:szCs w:val="18"/>
              </w:rPr>
            </w:pPr>
            <w:r w:rsidRPr="00575089">
              <w:rPr>
                <w:rFonts w:ascii="Palatino Linotype" w:hAnsi="Palatino Linotype"/>
                <w:sz w:val="18"/>
                <w:szCs w:val="18"/>
              </w:rPr>
              <w:t>0.853</w:t>
            </w:r>
          </w:p>
        </w:tc>
        <w:tc>
          <w:tcPr>
            <w:tcW w:w="1034" w:type="dxa"/>
            <w:vMerge/>
            <w:tcBorders>
              <w:top w:val="nil"/>
              <w:left w:val="nil"/>
              <w:bottom w:val="nil"/>
              <w:right w:val="nil"/>
            </w:tcBorders>
            <w:vAlign w:val="center"/>
          </w:tcPr>
          <w:p w14:paraId="4555871E" w14:textId="77777777" w:rsidR="006423CD" w:rsidRPr="00575089" w:rsidRDefault="006423CD" w:rsidP="006423CD">
            <w:pPr>
              <w:contextualSpacing/>
              <w:jc w:val="center"/>
              <w:rPr>
                <w:rFonts w:ascii="Palatino Linotype" w:hAnsi="Palatino Linotype"/>
                <w:sz w:val="18"/>
                <w:szCs w:val="18"/>
              </w:rPr>
            </w:pPr>
          </w:p>
        </w:tc>
        <w:tc>
          <w:tcPr>
            <w:tcW w:w="1134" w:type="dxa"/>
            <w:vMerge/>
            <w:tcBorders>
              <w:top w:val="nil"/>
              <w:left w:val="nil"/>
              <w:bottom w:val="nil"/>
              <w:right w:val="nil"/>
            </w:tcBorders>
            <w:vAlign w:val="center"/>
          </w:tcPr>
          <w:p w14:paraId="7D2D6A7A" w14:textId="77777777" w:rsidR="006423CD" w:rsidRPr="00575089" w:rsidRDefault="006423CD" w:rsidP="006423CD">
            <w:pPr>
              <w:contextualSpacing/>
              <w:jc w:val="center"/>
              <w:rPr>
                <w:rFonts w:ascii="Palatino Linotype" w:hAnsi="Palatino Linotype"/>
                <w:sz w:val="18"/>
                <w:szCs w:val="18"/>
              </w:rPr>
            </w:pPr>
          </w:p>
        </w:tc>
        <w:tc>
          <w:tcPr>
            <w:tcW w:w="1134" w:type="dxa"/>
            <w:vMerge/>
            <w:tcBorders>
              <w:top w:val="nil"/>
              <w:left w:val="nil"/>
              <w:bottom w:val="nil"/>
              <w:right w:val="nil"/>
            </w:tcBorders>
            <w:vAlign w:val="center"/>
          </w:tcPr>
          <w:p w14:paraId="525ACFB1" w14:textId="77777777" w:rsidR="006423CD" w:rsidRPr="00575089" w:rsidRDefault="006423CD" w:rsidP="006423CD">
            <w:pPr>
              <w:contextualSpacing/>
              <w:jc w:val="center"/>
              <w:rPr>
                <w:rFonts w:ascii="Palatino Linotype" w:hAnsi="Palatino Linotype"/>
                <w:sz w:val="18"/>
                <w:szCs w:val="18"/>
              </w:rPr>
            </w:pPr>
          </w:p>
        </w:tc>
      </w:tr>
      <w:tr w:rsidR="006423CD" w:rsidRPr="00575089" w14:paraId="0E5998F7" w14:textId="77777777" w:rsidTr="006423CD">
        <w:trPr>
          <w:jc w:val="center"/>
        </w:trPr>
        <w:tc>
          <w:tcPr>
            <w:tcW w:w="1306" w:type="dxa"/>
            <w:vMerge w:val="restart"/>
            <w:tcBorders>
              <w:top w:val="nil"/>
              <w:left w:val="nil"/>
              <w:bottom w:val="nil"/>
              <w:right w:val="nil"/>
            </w:tcBorders>
            <w:vAlign w:val="center"/>
          </w:tcPr>
          <w:p w14:paraId="7797088A" w14:textId="77777777" w:rsidR="006423CD" w:rsidRPr="00575089" w:rsidRDefault="006423CD" w:rsidP="00C179A0">
            <w:pPr>
              <w:contextualSpacing/>
              <w:jc w:val="center"/>
              <w:rPr>
                <w:rFonts w:ascii="Palatino Linotype" w:hAnsi="Palatino Linotype"/>
                <w:b/>
                <w:bCs/>
                <w:sz w:val="18"/>
                <w:szCs w:val="18"/>
              </w:rPr>
            </w:pPr>
            <w:r w:rsidRPr="00575089">
              <w:rPr>
                <w:rFonts w:ascii="Palatino Linotype" w:hAnsi="Palatino Linotype"/>
                <w:b/>
                <w:bCs/>
                <w:sz w:val="18"/>
                <w:szCs w:val="18"/>
              </w:rPr>
              <w:t>FM</w:t>
            </w:r>
          </w:p>
        </w:tc>
        <w:tc>
          <w:tcPr>
            <w:tcW w:w="1433" w:type="dxa"/>
            <w:tcBorders>
              <w:top w:val="nil"/>
              <w:left w:val="nil"/>
              <w:bottom w:val="nil"/>
              <w:right w:val="nil"/>
            </w:tcBorders>
            <w:vAlign w:val="center"/>
          </w:tcPr>
          <w:p w14:paraId="782F7E35" w14:textId="77777777" w:rsidR="006423CD" w:rsidRPr="00575089" w:rsidRDefault="006423CD" w:rsidP="00C179A0">
            <w:pPr>
              <w:contextualSpacing/>
              <w:jc w:val="center"/>
              <w:rPr>
                <w:rFonts w:ascii="Palatino Linotype" w:hAnsi="Palatino Linotype"/>
                <w:sz w:val="18"/>
                <w:szCs w:val="18"/>
              </w:rPr>
            </w:pPr>
            <w:r w:rsidRPr="00575089">
              <w:rPr>
                <w:rFonts w:ascii="Palatino Linotype" w:hAnsi="Palatino Linotype"/>
                <w:sz w:val="18"/>
                <w:szCs w:val="18"/>
              </w:rPr>
              <w:t>FM1</w:t>
            </w:r>
          </w:p>
        </w:tc>
        <w:tc>
          <w:tcPr>
            <w:tcW w:w="1644" w:type="dxa"/>
            <w:tcBorders>
              <w:top w:val="nil"/>
              <w:left w:val="nil"/>
              <w:bottom w:val="nil"/>
              <w:right w:val="nil"/>
            </w:tcBorders>
            <w:vAlign w:val="center"/>
          </w:tcPr>
          <w:p w14:paraId="5109A82C" w14:textId="77777777" w:rsidR="006423CD" w:rsidRPr="00575089" w:rsidRDefault="006423CD" w:rsidP="00C179A0">
            <w:pPr>
              <w:contextualSpacing/>
              <w:jc w:val="center"/>
              <w:rPr>
                <w:rFonts w:ascii="Palatino Linotype" w:hAnsi="Palatino Linotype"/>
                <w:sz w:val="18"/>
                <w:szCs w:val="18"/>
              </w:rPr>
            </w:pPr>
            <w:r w:rsidRPr="00575089">
              <w:rPr>
                <w:rFonts w:ascii="Palatino Linotype" w:hAnsi="Palatino Linotype"/>
                <w:sz w:val="18"/>
                <w:szCs w:val="18"/>
              </w:rPr>
              <w:t>0.931</w:t>
            </w:r>
          </w:p>
        </w:tc>
        <w:tc>
          <w:tcPr>
            <w:tcW w:w="1034" w:type="dxa"/>
            <w:vMerge w:val="restart"/>
            <w:tcBorders>
              <w:top w:val="nil"/>
              <w:left w:val="nil"/>
              <w:bottom w:val="nil"/>
              <w:right w:val="nil"/>
            </w:tcBorders>
            <w:vAlign w:val="center"/>
          </w:tcPr>
          <w:p w14:paraId="7A856FA1" w14:textId="77777777" w:rsidR="006423CD" w:rsidRPr="00575089" w:rsidRDefault="006423CD" w:rsidP="006423CD">
            <w:pPr>
              <w:contextualSpacing/>
              <w:jc w:val="center"/>
              <w:rPr>
                <w:rFonts w:ascii="Palatino Linotype" w:hAnsi="Palatino Linotype"/>
                <w:sz w:val="18"/>
                <w:szCs w:val="18"/>
              </w:rPr>
            </w:pPr>
            <w:r w:rsidRPr="00575089">
              <w:rPr>
                <w:rFonts w:ascii="Palatino Linotype" w:hAnsi="Palatino Linotype"/>
                <w:sz w:val="18"/>
                <w:szCs w:val="18"/>
              </w:rPr>
              <w:t>0.760</w:t>
            </w:r>
          </w:p>
        </w:tc>
        <w:tc>
          <w:tcPr>
            <w:tcW w:w="1134" w:type="dxa"/>
            <w:vMerge w:val="restart"/>
            <w:tcBorders>
              <w:top w:val="nil"/>
              <w:left w:val="nil"/>
              <w:bottom w:val="nil"/>
              <w:right w:val="nil"/>
            </w:tcBorders>
            <w:vAlign w:val="center"/>
          </w:tcPr>
          <w:p w14:paraId="6C1876E9" w14:textId="538C1B04" w:rsidR="006423CD" w:rsidRPr="00575089" w:rsidRDefault="006423CD" w:rsidP="006423CD">
            <w:pPr>
              <w:contextualSpacing/>
              <w:jc w:val="center"/>
              <w:rPr>
                <w:rFonts w:ascii="Palatino Linotype" w:hAnsi="Palatino Linotype"/>
                <w:sz w:val="18"/>
                <w:szCs w:val="18"/>
              </w:rPr>
            </w:pPr>
            <w:r w:rsidRPr="00575089">
              <w:rPr>
                <w:rFonts w:ascii="Palatino Linotype" w:hAnsi="Palatino Linotype"/>
                <w:sz w:val="18"/>
                <w:szCs w:val="18"/>
              </w:rPr>
              <w:t>0.894</w:t>
            </w:r>
          </w:p>
        </w:tc>
        <w:tc>
          <w:tcPr>
            <w:tcW w:w="1134" w:type="dxa"/>
            <w:vMerge w:val="restart"/>
            <w:tcBorders>
              <w:top w:val="nil"/>
              <w:left w:val="nil"/>
              <w:bottom w:val="nil"/>
              <w:right w:val="nil"/>
            </w:tcBorders>
            <w:vAlign w:val="center"/>
          </w:tcPr>
          <w:p w14:paraId="0196B991" w14:textId="77777777" w:rsidR="006423CD" w:rsidRPr="00575089" w:rsidRDefault="006423CD" w:rsidP="006423CD">
            <w:pPr>
              <w:contextualSpacing/>
              <w:jc w:val="center"/>
              <w:rPr>
                <w:rFonts w:ascii="Palatino Linotype" w:hAnsi="Palatino Linotype"/>
                <w:sz w:val="18"/>
                <w:szCs w:val="18"/>
              </w:rPr>
            </w:pPr>
            <w:r w:rsidRPr="00575089">
              <w:rPr>
                <w:rFonts w:ascii="Palatino Linotype" w:hAnsi="Palatino Linotype"/>
                <w:sz w:val="18"/>
                <w:szCs w:val="18"/>
              </w:rPr>
              <w:t>0.916</w:t>
            </w:r>
          </w:p>
        </w:tc>
      </w:tr>
      <w:tr w:rsidR="006423CD" w:rsidRPr="00575089" w14:paraId="0C20D935" w14:textId="77777777" w:rsidTr="006423CD">
        <w:trPr>
          <w:jc w:val="center"/>
        </w:trPr>
        <w:tc>
          <w:tcPr>
            <w:tcW w:w="1306" w:type="dxa"/>
            <w:vMerge/>
            <w:tcBorders>
              <w:top w:val="nil"/>
              <w:left w:val="nil"/>
              <w:bottom w:val="nil"/>
              <w:right w:val="nil"/>
            </w:tcBorders>
          </w:tcPr>
          <w:p w14:paraId="1E4DF26F" w14:textId="77777777" w:rsidR="006423CD" w:rsidRPr="00575089" w:rsidRDefault="006423CD" w:rsidP="00C179A0">
            <w:pPr>
              <w:contextualSpacing/>
              <w:jc w:val="center"/>
              <w:rPr>
                <w:rFonts w:ascii="Palatino Linotype" w:hAnsi="Palatino Linotype"/>
                <w:b/>
                <w:bCs/>
                <w:sz w:val="18"/>
                <w:szCs w:val="18"/>
              </w:rPr>
            </w:pPr>
          </w:p>
        </w:tc>
        <w:tc>
          <w:tcPr>
            <w:tcW w:w="1433" w:type="dxa"/>
            <w:tcBorders>
              <w:top w:val="nil"/>
              <w:left w:val="nil"/>
              <w:bottom w:val="nil"/>
              <w:right w:val="nil"/>
            </w:tcBorders>
            <w:vAlign w:val="center"/>
          </w:tcPr>
          <w:p w14:paraId="2F5A3BDE" w14:textId="77777777" w:rsidR="006423CD" w:rsidRPr="00575089" w:rsidRDefault="006423CD" w:rsidP="00C179A0">
            <w:pPr>
              <w:contextualSpacing/>
              <w:jc w:val="center"/>
              <w:rPr>
                <w:rFonts w:ascii="Palatino Linotype" w:hAnsi="Palatino Linotype"/>
                <w:sz w:val="18"/>
                <w:szCs w:val="18"/>
              </w:rPr>
            </w:pPr>
            <w:r w:rsidRPr="00575089">
              <w:rPr>
                <w:rFonts w:ascii="Palatino Linotype" w:hAnsi="Palatino Linotype"/>
                <w:sz w:val="18"/>
                <w:szCs w:val="18"/>
              </w:rPr>
              <w:t>FM2</w:t>
            </w:r>
          </w:p>
        </w:tc>
        <w:tc>
          <w:tcPr>
            <w:tcW w:w="1644" w:type="dxa"/>
            <w:tcBorders>
              <w:top w:val="nil"/>
              <w:left w:val="nil"/>
              <w:bottom w:val="nil"/>
              <w:right w:val="nil"/>
            </w:tcBorders>
            <w:vAlign w:val="center"/>
          </w:tcPr>
          <w:p w14:paraId="33B783EF" w14:textId="77777777" w:rsidR="006423CD" w:rsidRPr="00575089" w:rsidRDefault="006423CD" w:rsidP="00C179A0">
            <w:pPr>
              <w:contextualSpacing/>
              <w:jc w:val="center"/>
              <w:rPr>
                <w:rFonts w:ascii="Palatino Linotype" w:hAnsi="Palatino Linotype"/>
                <w:sz w:val="18"/>
                <w:szCs w:val="18"/>
              </w:rPr>
            </w:pPr>
            <w:r w:rsidRPr="00575089">
              <w:rPr>
                <w:rFonts w:ascii="Palatino Linotype" w:hAnsi="Palatino Linotype"/>
                <w:sz w:val="18"/>
                <w:szCs w:val="18"/>
              </w:rPr>
              <w:t>0.864</w:t>
            </w:r>
          </w:p>
        </w:tc>
        <w:tc>
          <w:tcPr>
            <w:tcW w:w="1034" w:type="dxa"/>
            <w:vMerge/>
            <w:tcBorders>
              <w:top w:val="nil"/>
              <w:left w:val="nil"/>
              <w:bottom w:val="nil"/>
              <w:right w:val="nil"/>
            </w:tcBorders>
            <w:vAlign w:val="center"/>
          </w:tcPr>
          <w:p w14:paraId="224D4693" w14:textId="77777777" w:rsidR="006423CD" w:rsidRPr="00575089" w:rsidRDefault="006423CD" w:rsidP="006423CD">
            <w:pPr>
              <w:contextualSpacing/>
              <w:jc w:val="center"/>
              <w:rPr>
                <w:rFonts w:ascii="Palatino Linotype" w:hAnsi="Palatino Linotype"/>
                <w:sz w:val="18"/>
                <w:szCs w:val="18"/>
              </w:rPr>
            </w:pPr>
          </w:p>
        </w:tc>
        <w:tc>
          <w:tcPr>
            <w:tcW w:w="1134" w:type="dxa"/>
            <w:vMerge/>
            <w:tcBorders>
              <w:top w:val="nil"/>
              <w:left w:val="nil"/>
              <w:bottom w:val="nil"/>
              <w:right w:val="nil"/>
            </w:tcBorders>
            <w:vAlign w:val="center"/>
          </w:tcPr>
          <w:p w14:paraId="09992FF6" w14:textId="77777777" w:rsidR="006423CD" w:rsidRPr="00575089" w:rsidRDefault="006423CD" w:rsidP="006423CD">
            <w:pPr>
              <w:contextualSpacing/>
              <w:jc w:val="center"/>
              <w:rPr>
                <w:rFonts w:ascii="Palatino Linotype" w:hAnsi="Palatino Linotype"/>
                <w:sz w:val="18"/>
                <w:szCs w:val="18"/>
              </w:rPr>
            </w:pPr>
          </w:p>
        </w:tc>
        <w:tc>
          <w:tcPr>
            <w:tcW w:w="1134" w:type="dxa"/>
            <w:vMerge/>
            <w:tcBorders>
              <w:top w:val="nil"/>
              <w:left w:val="nil"/>
              <w:bottom w:val="nil"/>
              <w:right w:val="nil"/>
            </w:tcBorders>
            <w:vAlign w:val="center"/>
          </w:tcPr>
          <w:p w14:paraId="54D1B530" w14:textId="77777777" w:rsidR="006423CD" w:rsidRPr="00575089" w:rsidRDefault="006423CD" w:rsidP="006423CD">
            <w:pPr>
              <w:contextualSpacing/>
              <w:jc w:val="center"/>
              <w:rPr>
                <w:rFonts w:ascii="Palatino Linotype" w:hAnsi="Palatino Linotype"/>
                <w:sz w:val="18"/>
                <w:szCs w:val="18"/>
              </w:rPr>
            </w:pPr>
          </w:p>
        </w:tc>
      </w:tr>
      <w:tr w:rsidR="006423CD" w:rsidRPr="00575089" w14:paraId="10B07D64" w14:textId="77777777" w:rsidTr="006423CD">
        <w:trPr>
          <w:jc w:val="center"/>
        </w:trPr>
        <w:tc>
          <w:tcPr>
            <w:tcW w:w="1306" w:type="dxa"/>
            <w:vMerge/>
            <w:tcBorders>
              <w:top w:val="nil"/>
              <w:left w:val="nil"/>
              <w:bottom w:val="nil"/>
              <w:right w:val="nil"/>
            </w:tcBorders>
          </w:tcPr>
          <w:p w14:paraId="63396B1E" w14:textId="77777777" w:rsidR="006423CD" w:rsidRPr="00575089" w:rsidRDefault="006423CD" w:rsidP="00C179A0">
            <w:pPr>
              <w:contextualSpacing/>
              <w:jc w:val="center"/>
              <w:rPr>
                <w:rFonts w:ascii="Palatino Linotype" w:hAnsi="Palatino Linotype"/>
                <w:b/>
                <w:bCs/>
                <w:sz w:val="18"/>
                <w:szCs w:val="18"/>
              </w:rPr>
            </w:pPr>
          </w:p>
        </w:tc>
        <w:tc>
          <w:tcPr>
            <w:tcW w:w="1433" w:type="dxa"/>
            <w:tcBorders>
              <w:top w:val="nil"/>
              <w:left w:val="nil"/>
              <w:bottom w:val="nil"/>
              <w:right w:val="nil"/>
            </w:tcBorders>
            <w:vAlign w:val="center"/>
          </w:tcPr>
          <w:p w14:paraId="2CCF45D3" w14:textId="77777777" w:rsidR="006423CD" w:rsidRPr="00575089" w:rsidRDefault="006423CD" w:rsidP="00C179A0">
            <w:pPr>
              <w:contextualSpacing/>
              <w:jc w:val="center"/>
              <w:rPr>
                <w:rFonts w:ascii="Palatino Linotype" w:hAnsi="Palatino Linotype"/>
                <w:sz w:val="18"/>
                <w:szCs w:val="18"/>
              </w:rPr>
            </w:pPr>
            <w:r w:rsidRPr="00575089">
              <w:rPr>
                <w:rFonts w:ascii="Palatino Linotype" w:hAnsi="Palatino Linotype"/>
                <w:sz w:val="18"/>
                <w:szCs w:val="18"/>
              </w:rPr>
              <w:t>FM3</w:t>
            </w:r>
          </w:p>
        </w:tc>
        <w:tc>
          <w:tcPr>
            <w:tcW w:w="1644" w:type="dxa"/>
            <w:tcBorders>
              <w:top w:val="nil"/>
              <w:left w:val="nil"/>
              <w:bottom w:val="nil"/>
              <w:right w:val="nil"/>
            </w:tcBorders>
            <w:vAlign w:val="center"/>
          </w:tcPr>
          <w:p w14:paraId="26B68705" w14:textId="77777777" w:rsidR="006423CD" w:rsidRPr="00575089" w:rsidRDefault="006423CD" w:rsidP="00C179A0">
            <w:pPr>
              <w:contextualSpacing/>
              <w:jc w:val="center"/>
              <w:rPr>
                <w:rFonts w:ascii="Palatino Linotype" w:hAnsi="Palatino Linotype"/>
                <w:sz w:val="18"/>
                <w:szCs w:val="18"/>
              </w:rPr>
            </w:pPr>
            <w:r w:rsidRPr="00575089">
              <w:rPr>
                <w:rFonts w:ascii="Palatino Linotype" w:hAnsi="Palatino Linotype"/>
                <w:sz w:val="18"/>
                <w:szCs w:val="18"/>
              </w:rPr>
              <w:t>0.836</w:t>
            </w:r>
          </w:p>
        </w:tc>
        <w:tc>
          <w:tcPr>
            <w:tcW w:w="1034" w:type="dxa"/>
            <w:vMerge/>
            <w:tcBorders>
              <w:top w:val="nil"/>
              <w:left w:val="nil"/>
              <w:bottom w:val="nil"/>
              <w:right w:val="nil"/>
            </w:tcBorders>
            <w:vAlign w:val="center"/>
          </w:tcPr>
          <w:p w14:paraId="43669CB7" w14:textId="77777777" w:rsidR="006423CD" w:rsidRPr="00575089" w:rsidRDefault="006423CD" w:rsidP="006423CD">
            <w:pPr>
              <w:contextualSpacing/>
              <w:jc w:val="center"/>
              <w:rPr>
                <w:rFonts w:ascii="Palatino Linotype" w:hAnsi="Palatino Linotype"/>
                <w:sz w:val="18"/>
                <w:szCs w:val="18"/>
              </w:rPr>
            </w:pPr>
          </w:p>
        </w:tc>
        <w:tc>
          <w:tcPr>
            <w:tcW w:w="1134" w:type="dxa"/>
            <w:vMerge/>
            <w:tcBorders>
              <w:top w:val="nil"/>
              <w:left w:val="nil"/>
              <w:bottom w:val="nil"/>
              <w:right w:val="nil"/>
            </w:tcBorders>
            <w:vAlign w:val="center"/>
          </w:tcPr>
          <w:p w14:paraId="5296E069" w14:textId="77777777" w:rsidR="006423CD" w:rsidRPr="00575089" w:rsidRDefault="006423CD" w:rsidP="006423CD">
            <w:pPr>
              <w:contextualSpacing/>
              <w:jc w:val="center"/>
              <w:rPr>
                <w:rFonts w:ascii="Palatino Linotype" w:hAnsi="Palatino Linotype"/>
                <w:sz w:val="18"/>
                <w:szCs w:val="18"/>
              </w:rPr>
            </w:pPr>
          </w:p>
        </w:tc>
        <w:tc>
          <w:tcPr>
            <w:tcW w:w="1134" w:type="dxa"/>
            <w:vMerge/>
            <w:tcBorders>
              <w:top w:val="nil"/>
              <w:left w:val="nil"/>
              <w:bottom w:val="nil"/>
              <w:right w:val="nil"/>
            </w:tcBorders>
            <w:vAlign w:val="center"/>
          </w:tcPr>
          <w:p w14:paraId="012C0460" w14:textId="77777777" w:rsidR="006423CD" w:rsidRPr="00575089" w:rsidRDefault="006423CD" w:rsidP="006423CD">
            <w:pPr>
              <w:contextualSpacing/>
              <w:jc w:val="center"/>
              <w:rPr>
                <w:rFonts w:ascii="Palatino Linotype" w:hAnsi="Palatino Linotype"/>
                <w:sz w:val="18"/>
                <w:szCs w:val="18"/>
              </w:rPr>
            </w:pPr>
          </w:p>
        </w:tc>
      </w:tr>
      <w:tr w:rsidR="006423CD" w:rsidRPr="00575089" w14:paraId="7686239E" w14:textId="77777777" w:rsidTr="006423CD">
        <w:trPr>
          <w:jc w:val="center"/>
        </w:trPr>
        <w:tc>
          <w:tcPr>
            <w:tcW w:w="1306" w:type="dxa"/>
            <w:vMerge/>
            <w:tcBorders>
              <w:top w:val="nil"/>
              <w:left w:val="nil"/>
              <w:bottom w:val="nil"/>
              <w:right w:val="nil"/>
            </w:tcBorders>
          </w:tcPr>
          <w:p w14:paraId="5DC726BD" w14:textId="77777777" w:rsidR="006423CD" w:rsidRPr="00575089" w:rsidRDefault="006423CD" w:rsidP="00C179A0">
            <w:pPr>
              <w:contextualSpacing/>
              <w:jc w:val="center"/>
              <w:rPr>
                <w:rFonts w:ascii="Palatino Linotype" w:hAnsi="Palatino Linotype"/>
                <w:b/>
                <w:bCs/>
                <w:sz w:val="18"/>
                <w:szCs w:val="18"/>
              </w:rPr>
            </w:pPr>
          </w:p>
        </w:tc>
        <w:tc>
          <w:tcPr>
            <w:tcW w:w="1433" w:type="dxa"/>
            <w:tcBorders>
              <w:top w:val="nil"/>
              <w:left w:val="nil"/>
              <w:bottom w:val="nil"/>
              <w:right w:val="nil"/>
            </w:tcBorders>
            <w:vAlign w:val="center"/>
          </w:tcPr>
          <w:p w14:paraId="3C261BF5" w14:textId="77777777" w:rsidR="006423CD" w:rsidRPr="00575089" w:rsidRDefault="006423CD" w:rsidP="00C179A0">
            <w:pPr>
              <w:contextualSpacing/>
              <w:jc w:val="center"/>
              <w:rPr>
                <w:rFonts w:ascii="Palatino Linotype" w:hAnsi="Palatino Linotype"/>
                <w:sz w:val="18"/>
                <w:szCs w:val="18"/>
              </w:rPr>
            </w:pPr>
            <w:r w:rsidRPr="00575089">
              <w:rPr>
                <w:rFonts w:ascii="Palatino Linotype" w:hAnsi="Palatino Linotype"/>
                <w:sz w:val="18"/>
                <w:szCs w:val="18"/>
              </w:rPr>
              <w:t>FM4</w:t>
            </w:r>
          </w:p>
        </w:tc>
        <w:tc>
          <w:tcPr>
            <w:tcW w:w="1644" w:type="dxa"/>
            <w:tcBorders>
              <w:top w:val="nil"/>
              <w:left w:val="nil"/>
              <w:bottom w:val="nil"/>
              <w:right w:val="nil"/>
            </w:tcBorders>
            <w:vAlign w:val="center"/>
          </w:tcPr>
          <w:p w14:paraId="1D0B4865" w14:textId="77777777" w:rsidR="006423CD" w:rsidRPr="00575089" w:rsidRDefault="006423CD" w:rsidP="00C179A0">
            <w:pPr>
              <w:contextualSpacing/>
              <w:jc w:val="center"/>
              <w:rPr>
                <w:rFonts w:ascii="Palatino Linotype" w:hAnsi="Palatino Linotype"/>
                <w:sz w:val="18"/>
                <w:szCs w:val="18"/>
              </w:rPr>
            </w:pPr>
            <w:r w:rsidRPr="00575089">
              <w:rPr>
                <w:rFonts w:ascii="Palatino Linotype" w:hAnsi="Palatino Linotype"/>
                <w:sz w:val="18"/>
                <w:szCs w:val="18"/>
              </w:rPr>
              <w:t>0.852</w:t>
            </w:r>
          </w:p>
        </w:tc>
        <w:tc>
          <w:tcPr>
            <w:tcW w:w="1034" w:type="dxa"/>
            <w:vMerge/>
            <w:tcBorders>
              <w:top w:val="nil"/>
              <w:left w:val="nil"/>
              <w:bottom w:val="nil"/>
              <w:right w:val="nil"/>
            </w:tcBorders>
            <w:vAlign w:val="center"/>
          </w:tcPr>
          <w:p w14:paraId="54E4FB9E" w14:textId="77777777" w:rsidR="006423CD" w:rsidRPr="00575089" w:rsidRDefault="006423CD" w:rsidP="006423CD">
            <w:pPr>
              <w:contextualSpacing/>
              <w:jc w:val="center"/>
              <w:rPr>
                <w:rFonts w:ascii="Palatino Linotype" w:hAnsi="Palatino Linotype"/>
                <w:sz w:val="18"/>
                <w:szCs w:val="18"/>
              </w:rPr>
            </w:pPr>
          </w:p>
        </w:tc>
        <w:tc>
          <w:tcPr>
            <w:tcW w:w="1134" w:type="dxa"/>
            <w:vMerge/>
            <w:tcBorders>
              <w:top w:val="nil"/>
              <w:left w:val="nil"/>
              <w:bottom w:val="nil"/>
              <w:right w:val="nil"/>
            </w:tcBorders>
            <w:vAlign w:val="center"/>
          </w:tcPr>
          <w:p w14:paraId="6F95CDB0" w14:textId="77777777" w:rsidR="006423CD" w:rsidRPr="00575089" w:rsidRDefault="006423CD" w:rsidP="006423CD">
            <w:pPr>
              <w:contextualSpacing/>
              <w:jc w:val="center"/>
              <w:rPr>
                <w:rFonts w:ascii="Palatino Linotype" w:hAnsi="Palatino Linotype"/>
                <w:sz w:val="18"/>
                <w:szCs w:val="18"/>
              </w:rPr>
            </w:pPr>
          </w:p>
        </w:tc>
        <w:tc>
          <w:tcPr>
            <w:tcW w:w="1134" w:type="dxa"/>
            <w:vMerge/>
            <w:tcBorders>
              <w:top w:val="nil"/>
              <w:left w:val="nil"/>
              <w:bottom w:val="nil"/>
              <w:right w:val="nil"/>
            </w:tcBorders>
            <w:vAlign w:val="center"/>
          </w:tcPr>
          <w:p w14:paraId="6100CB5A" w14:textId="77777777" w:rsidR="006423CD" w:rsidRPr="00575089" w:rsidRDefault="006423CD" w:rsidP="006423CD">
            <w:pPr>
              <w:contextualSpacing/>
              <w:jc w:val="center"/>
              <w:rPr>
                <w:rFonts w:ascii="Palatino Linotype" w:hAnsi="Palatino Linotype"/>
                <w:sz w:val="18"/>
                <w:szCs w:val="18"/>
              </w:rPr>
            </w:pPr>
          </w:p>
        </w:tc>
      </w:tr>
      <w:tr w:rsidR="006423CD" w:rsidRPr="00575089" w14:paraId="47AB25E4" w14:textId="77777777" w:rsidTr="006423CD">
        <w:trPr>
          <w:jc w:val="center"/>
        </w:trPr>
        <w:tc>
          <w:tcPr>
            <w:tcW w:w="1306" w:type="dxa"/>
            <w:vMerge w:val="restart"/>
            <w:tcBorders>
              <w:top w:val="nil"/>
              <w:left w:val="nil"/>
              <w:bottom w:val="nil"/>
              <w:right w:val="nil"/>
            </w:tcBorders>
            <w:vAlign w:val="center"/>
          </w:tcPr>
          <w:p w14:paraId="13116222" w14:textId="77777777" w:rsidR="006423CD" w:rsidRPr="00575089" w:rsidRDefault="006423CD" w:rsidP="00C179A0">
            <w:pPr>
              <w:contextualSpacing/>
              <w:jc w:val="center"/>
              <w:rPr>
                <w:rFonts w:ascii="Palatino Linotype" w:hAnsi="Palatino Linotype"/>
                <w:b/>
                <w:bCs/>
                <w:sz w:val="18"/>
                <w:szCs w:val="18"/>
              </w:rPr>
            </w:pPr>
            <w:r w:rsidRPr="00575089">
              <w:rPr>
                <w:rFonts w:ascii="Palatino Linotype" w:hAnsi="Palatino Linotype"/>
                <w:b/>
                <w:bCs/>
                <w:sz w:val="18"/>
                <w:szCs w:val="18"/>
              </w:rPr>
              <w:t>IU</w:t>
            </w:r>
          </w:p>
        </w:tc>
        <w:tc>
          <w:tcPr>
            <w:tcW w:w="1433" w:type="dxa"/>
            <w:tcBorders>
              <w:top w:val="nil"/>
              <w:left w:val="nil"/>
              <w:bottom w:val="nil"/>
              <w:right w:val="nil"/>
            </w:tcBorders>
            <w:vAlign w:val="center"/>
          </w:tcPr>
          <w:p w14:paraId="1CEE5E0A" w14:textId="77777777" w:rsidR="006423CD" w:rsidRPr="00575089" w:rsidRDefault="006423CD" w:rsidP="00C179A0">
            <w:pPr>
              <w:contextualSpacing/>
              <w:jc w:val="center"/>
              <w:rPr>
                <w:rFonts w:ascii="Palatino Linotype" w:hAnsi="Palatino Linotype"/>
                <w:sz w:val="18"/>
                <w:szCs w:val="18"/>
              </w:rPr>
            </w:pPr>
            <w:r w:rsidRPr="00575089">
              <w:rPr>
                <w:rFonts w:ascii="Palatino Linotype" w:hAnsi="Palatino Linotype"/>
                <w:sz w:val="18"/>
                <w:szCs w:val="18"/>
              </w:rPr>
              <w:t>IU1</w:t>
            </w:r>
          </w:p>
        </w:tc>
        <w:tc>
          <w:tcPr>
            <w:tcW w:w="1644" w:type="dxa"/>
            <w:tcBorders>
              <w:top w:val="nil"/>
              <w:left w:val="nil"/>
              <w:bottom w:val="nil"/>
              <w:right w:val="nil"/>
            </w:tcBorders>
            <w:vAlign w:val="center"/>
          </w:tcPr>
          <w:p w14:paraId="7F9A5522" w14:textId="77777777" w:rsidR="006423CD" w:rsidRPr="00575089" w:rsidRDefault="006423CD" w:rsidP="00C179A0">
            <w:pPr>
              <w:contextualSpacing/>
              <w:jc w:val="center"/>
              <w:rPr>
                <w:rFonts w:ascii="Palatino Linotype" w:hAnsi="Palatino Linotype"/>
                <w:sz w:val="18"/>
                <w:szCs w:val="18"/>
              </w:rPr>
            </w:pPr>
            <w:r w:rsidRPr="00575089">
              <w:rPr>
                <w:rFonts w:ascii="Palatino Linotype" w:hAnsi="Palatino Linotype"/>
                <w:sz w:val="18"/>
                <w:szCs w:val="18"/>
              </w:rPr>
              <w:t>0.912</w:t>
            </w:r>
          </w:p>
        </w:tc>
        <w:tc>
          <w:tcPr>
            <w:tcW w:w="1034" w:type="dxa"/>
            <w:vMerge w:val="restart"/>
            <w:tcBorders>
              <w:top w:val="nil"/>
              <w:left w:val="nil"/>
              <w:bottom w:val="nil"/>
              <w:right w:val="nil"/>
            </w:tcBorders>
            <w:vAlign w:val="center"/>
          </w:tcPr>
          <w:p w14:paraId="5EC0FFB2" w14:textId="77777777" w:rsidR="006423CD" w:rsidRPr="00575089" w:rsidRDefault="006423CD" w:rsidP="006423CD">
            <w:pPr>
              <w:contextualSpacing/>
              <w:jc w:val="center"/>
              <w:rPr>
                <w:rFonts w:ascii="Palatino Linotype" w:hAnsi="Palatino Linotype"/>
                <w:sz w:val="18"/>
                <w:szCs w:val="18"/>
              </w:rPr>
            </w:pPr>
            <w:r w:rsidRPr="00575089">
              <w:rPr>
                <w:rFonts w:ascii="Palatino Linotype" w:hAnsi="Palatino Linotype"/>
                <w:sz w:val="18"/>
                <w:szCs w:val="18"/>
              </w:rPr>
              <w:t>0.741</w:t>
            </w:r>
          </w:p>
        </w:tc>
        <w:tc>
          <w:tcPr>
            <w:tcW w:w="1134" w:type="dxa"/>
            <w:vMerge w:val="restart"/>
            <w:tcBorders>
              <w:top w:val="nil"/>
              <w:left w:val="nil"/>
              <w:bottom w:val="nil"/>
              <w:right w:val="nil"/>
            </w:tcBorders>
            <w:vAlign w:val="center"/>
          </w:tcPr>
          <w:p w14:paraId="2D1E43BB" w14:textId="77777777" w:rsidR="006423CD" w:rsidRPr="00575089" w:rsidRDefault="006423CD" w:rsidP="006423CD">
            <w:pPr>
              <w:contextualSpacing/>
              <w:jc w:val="center"/>
              <w:rPr>
                <w:rFonts w:ascii="Palatino Linotype" w:hAnsi="Palatino Linotype"/>
                <w:sz w:val="18"/>
                <w:szCs w:val="18"/>
              </w:rPr>
            </w:pPr>
            <w:r w:rsidRPr="00575089">
              <w:rPr>
                <w:rFonts w:ascii="Palatino Linotype" w:hAnsi="Palatino Linotype"/>
                <w:sz w:val="18"/>
                <w:szCs w:val="18"/>
              </w:rPr>
              <w:t>0.878</w:t>
            </w:r>
          </w:p>
        </w:tc>
        <w:tc>
          <w:tcPr>
            <w:tcW w:w="1134" w:type="dxa"/>
            <w:vMerge w:val="restart"/>
            <w:tcBorders>
              <w:top w:val="nil"/>
              <w:left w:val="nil"/>
              <w:bottom w:val="nil"/>
              <w:right w:val="nil"/>
            </w:tcBorders>
            <w:vAlign w:val="center"/>
          </w:tcPr>
          <w:p w14:paraId="7D191E45" w14:textId="54818F6B" w:rsidR="006423CD" w:rsidRPr="00575089" w:rsidRDefault="006423CD" w:rsidP="006423CD">
            <w:pPr>
              <w:contextualSpacing/>
              <w:jc w:val="center"/>
              <w:rPr>
                <w:rFonts w:ascii="Palatino Linotype" w:hAnsi="Palatino Linotype"/>
                <w:sz w:val="18"/>
                <w:szCs w:val="18"/>
              </w:rPr>
            </w:pPr>
            <w:r w:rsidRPr="00575089">
              <w:rPr>
                <w:rFonts w:ascii="Palatino Linotype" w:hAnsi="Palatino Linotype"/>
                <w:sz w:val="18"/>
                <w:szCs w:val="18"/>
              </w:rPr>
              <w:t>0.904</w:t>
            </w:r>
          </w:p>
        </w:tc>
      </w:tr>
      <w:tr w:rsidR="006423CD" w:rsidRPr="00575089" w14:paraId="425E7F5D" w14:textId="77777777" w:rsidTr="006423CD">
        <w:trPr>
          <w:jc w:val="center"/>
        </w:trPr>
        <w:tc>
          <w:tcPr>
            <w:tcW w:w="1306" w:type="dxa"/>
            <w:vMerge/>
            <w:tcBorders>
              <w:top w:val="nil"/>
              <w:left w:val="nil"/>
              <w:bottom w:val="nil"/>
              <w:right w:val="nil"/>
            </w:tcBorders>
          </w:tcPr>
          <w:p w14:paraId="0BD97A2B" w14:textId="77777777" w:rsidR="006423CD" w:rsidRPr="00575089" w:rsidRDefault="006423CD" w:rsidP="00C179A0">
            <w:pPr>
              <w:contextualSpacing/>
              <w:rPr>
                <w:rFonts w:ascii="Palatino Linotype" w:hAnsi="Palatino Linotype"/>
                <w:b/>
                <w:bCs/>
                <w:sz w:val="18"/>
                <w:szCs w:val="18"/>
              </w:rPr>
            </w:pPr>
          </w:p>
        </w:tc>
        <w:tc>
          <w:tcPr>
            <w:tcW w:w="1433" w:type="dxa"/>
            <w:tcBorders>
              <w:top w:val="nil"/>
              <w:left w:val="nil"/>
              <w:bottom w:val="nil"/>
              <w:right w:val="nil"/>
            </w:tcBorders>
            <w:vAlign w:val="center"/>
          </w:tcPr>
          <w:p w14:paraId="31306B09" w14:textId="77777777" w:rsidR="006423CD" w:rsidRPr="00575089" w:rsidRDefault="006423CD" w:rsidP="00C179A0">
            <w:pPr>
              <w:contextualSpacing/>
              <w:jc w:val="center"/>
              <w:rPr>
                <w:rFonts w:ascii="Palatino Linotype" w:hAnsi="Palatino Linotype"/>
                <w:sz w:val="18"/>
                <w:szCs w:val="18"/>
              </w:rPr>
            </w:pPr>
            <w:r w:rsidRPr="00575089">
              <w:rPr>
                <w:rFonts w:ascii="Palatino Linotype" w:hAnsi="Palatino Linotype"/>
                <w:sz w:val="18"/>
                <w:szCs w:val="18"/>
              </w:rPr>
              <w:t>IU2</w:t>
            </w:r>
          </w:p>
        </w:tc>
        <w:tc>
          <w:tcPr>
            <w:tcW w:w="1644" w:type="dxa"/>
            <w:tcBorders>
              <w:top w:val="nil"/>
              <w:left w:val="nil"/>
              <w:bottom w:val="nil"/>
              <w:right w:val="nil"/>
            </w:tcBorders>
            <w:vAlign w:val="center"/>
          </w:tcPr>
          <w:p w14:paraId="29870094" w14:textId="77777777" w:rsidR="006423CD" w:rsidRPr="00575089" w:rsidRDefault="006423CD" w:rsidP="00C179A0">
            <w:pPr>
              <w:contextualSpacing/>
              <w:jc w:val="center"/>
              <w:rPr>
                <w:rFonts w:ascii="Palatino Linotype" w:hAnsi="Palatino Linotype"/>
                <w:sz w:val="18"/>
                <w:szCs w:val="18"/>
              </w:rPr>
            </w:pPr>
            <w:r w:rsidRPr="00575089">
              <w:rPr>
                <w:rFonts w:ascii="Palatino Linotype" w:hAnsi="Palatino Linotype"/>
                <w:sz w:val="18"/>
                <w:szCs w:val="18"/>
              </w:rPr>
              <w:t>0.803</w:t>
            </w:r>
          </w:p>
        </w:tc>
        <w:tc>
          <w:tcPr>
            <w:tcW w:w="1034" w:type="dxa"/>
            <w:vMerge/>
            <w:tcBorders>
              <w:top w:val="nil"/>
              <w:left w:val="nil"/>
              <w:bottom w:val="nil"/>
              <w:right w:val="nil"/>
            </w:tcBorders>
            <w:vAlign w:val="center"/>
          </w:tcPr>
          <w:p w14:paraId="3B2DEC1B" w14:textId="77777777" w:rsidR="006423CD" w:rsidRPr="00575089" w:rsidRDefault="006423CD" w:rsidP="00C179A0">
            <w:pPr>
              <w:contextualSpacing/>
              <w:jc w:val="center"/>
              <w:rPr>
                <w:rFonts w:ascii="Palatino Linotype" w:hAnsi="Palatino Linotype"/>
                <w:sz w:val="18"/>
                <w:szCs w:val="18"/>
              </w:rPr>
            </w:pPr>
          </w:p>
        </w:tc>
        <w:tc>
          <w:tcPr>
            <w:tcW w:w="1134" w:type="dxa"/>
            <w:vMerge/>
            <w:tcBorders>
              <w:top w:val="nil"/>
              <w:left w:val="nil"/>
              <w:bottom w:val="nil"/>
              <w:right w:val="nil"/>
            </w:tcBorders>
          </w:tcPr>
          <w:p w14:paraId="6BC7A671" w14:textId="77777777" w:rsidR="006423CD" w:rsidRPr="00575089" w:rsidRDefault="006423CD" w:rsidP="00C179A0">
            <w:pPr>
              <w:contextualSpacing/>
              <w:jc w:val="center"/>
              <w:rPr>
                <w:rFonts w:ascii="Palatino Linotype" w:hAnsi="Palatino Linotype"/>
                <w:sz w:val="18"/>
                <w:szCs w:val="18"/>
              </w:rPr>
            </w:pPr>
          </w:p>
        </w:tc>
        <w:tc>
          <w:tcPr>
            <w:tcW w:w="1134" w:type="dxa"/>
            <w:vMerge/>
            <w:tcBorders>
              <w:top w:val="nil"/>
              <w:left w:val="nil"/>
              <w:bottom w:val="nil"/>
              <w:right w:val="nil"/>
            </w:tcBorders>
          </w:tcPr>
          <w:p w14:paraId="654926B3" w14:textId="77777777" w:rsidR="006423CD" w:rsidRPr="00575089" w:rsidRDefault="006423CD" w:rsidP="00C179A0">
            <w:pPr>
              <w:contextualSpacing/>
              <w:jc w:val="center"/>
              <w:rPr>
                <w:rFonts w:ascii="Palatino Linotype" w:hAnsi="Palatino Linotype"/>
                <w:sz w:val="18"/>
                <w:szCs w:val="18"/>
              </w:rPr>
            </w:pPr>
          </w:p>
        </w:tc>
      </w:tr>
      <w:tr w:rsidR="006423CD" w:rsidRPr="00575089" w14:paraId="084D0ABF" w14:textId="77777777" w:rsidTr="006423CD">
        <w:trPr>
          <w:jc w:val="center"/>
        </w:trPr>
        <w:tc>
          <w:tcPr>
            <w:tcW w:w="1306" w:type="dxa"/>
            <w:vMerge/>
            <w:tcBorders>
              <w:top w:val="nil"/>
              <w:left w:val="nil"/>
              <w:bottom w:val="nil"/>
              <w:right w:val="nil"/>
            </w:tcBorders>
          </w:tcPr>
          <w:p w14:paraId="3E48E090" w14:textId="77777777" w:rsidR="006423CD" w:rsidRPr="00575089" w:rsidRDefault="006423CD" w:rsidP="00C179A0">
            <w:pPr>
              <w:contextualSpacing/>
              <w:rPr>
                <w:rFonts w:ascii="Palatino Linotype" w:hAnsi="Palatino Linotype"/>
                <w:b/>
                <w:bCs/>
                <w:sz w:val="18"/>
                <w:szCs w:val="18"/>
              </w:rPr>
            </w:pPr>
          </w:p>
        </w:tc>
        <w:tc>
          <w:tcPr>
            <w:tcW w:w="1433" w:type="dxa"/>
            <w:tcBorders>
              <w:top w:val="nil"/>
              <w:left w:val="nil"/>
              <w:bottom w:val="nil"/>
              <w:right w:val="nil"/>
            </w:tcBorders>
            <w:vAlign w:val="center"/>
          </w:tcPr>
          <w:p w14:paraId="0CDBBC9F" w14:textId="77777777" w:rsidR="006423CD" w:rsidRPr="00575089" w:rsidRDefault="006423CD" w:rsidP="00C179A0">
            <w:pPr>
              <w:contextualSpacing/>
              <w:jc w:val="center"/>
              <w:rPr>
                <w:rFonts w:ascii="Palatino Linotype" w:hAnsi="Palatino Linotype"/>
                <w:sz w:val="18"/>
                <w:szCs w:val="18"/>
              </w:rPr>
            </w:pPr>
            <w:r w:rsidRPr="00575089">
              <w:rPr>
                <w:rFonts w:ascii="Palatino Linotype" w:hAnsi="Palatino Linotype"/>
                <w:sz w:val="18"/>
                <w:szCs w:val="18"/>
              </w:rPr>
              <w:t>IU3</w:t>
            </w:r>
          </w:p>
        </w:tc>
        <w:tc>
          <w:tcPr>
            <w:tcW w:w="1644" w:type="dxa"/>
            <w:tcBorders>
              <w:top w:val="nil"/>
              <w:left w:val="nil"/>
              <w:bottom w:val="nil"/>
              <w:right w:val="nil"/>
            </w:tcBorders>
            <w:vAlign w:val="center"/>
          </w:tcPr>
          <w:p w14:paraId="64DFDE1A" w14:textId="77777777" w:rsidR="006423CD" w:rsidRPr="00575089" w:rsidRDefault="006423CD" w:rsidP="00C179A0">
            <w:pPr>
              <w:contextualSpacing/>
              <w:jc w:val="center"/>
              <w:rPr>
                <w:rFonts w:ascii="Palatino Linotype" w:hAnsi="Palatino Linotype"/>
                <w:sz w:val="18"/>
                <w:szCs w:val="18"/>
              </w:rPr>
            </w:pPr>
            <w:r w:rsidRPr="00575089">
              <w:rPr>
                <w:rFonts w:ascii="Palatino Linotype" w:hAnsi="Palatino Linotype"/>
                <w:sz w:val="18"/>
                <w:szCs w:val="18"/>
              </w:rPr>
              <w:t>0.899</w:t>
            </w:r>
          </w:p>
        </w:tc>
        <w:tc>
          <w:tcPr>
            <w:tcW w:w="1034" w:type="dxa"/>
            <w:vMerge/>
            <w:tcBorders>
              <w:top w:val="nil"/>
              <w:left w:val="nil"/>
              <w:bottom w:val="nil"/>
              <w:right w:val="nil"/>
            </w:tcBorders>
            <w:vAlign w:val="center"/>
          </w:tcPr>
          <w:p w14:paraId="7B586A14" w14:textId="77777777" w:rsidR="006423CD" w:rsidRPr="00575089" w:rsidRDefault="006423CD" w:rsidP="00C179A0">
            <w:pPr>
              <w:contextualSpacing/>
              <w:jc w:val="center"/>
              <w:rPr>
                <w:rFonts w:ascii="Palatino Linotype" w:hAnsi="Palatino Linotype"/>
                <w:sz w:val="18"/>
                <w:szCs w:val="18"/>
              </w:rPr>
            </w:pPr>
          </w:p>
        </w:tc>
        <w:tc>
          <w:tcPr>
            <w:tcW w:w="1134" w:type="dxa"/>
            <w:vMerge/>
            <w:tcBorders>
              <w:top w:val="nil"/>
              <w:left w:val="nil"/>
              <w:bottom w:val="nil"/>
              <w:right w:val="nil"/>
            </w:tcBorders>
          </w:tcPr>
          <w:p w14:paraId="09EA6AEB" w14:textId="77777777" w:rsidR="006423CD" w:rsidRPr="00575089" w:rsidRDefault="006423CD" w:rsidP="00C179A0">
            <w:pPr>
              <w:contextualSpacing/>
              <w:jc w:val="center"/>
              <w:rPr>
                <w:rFonts w:ascii="Palatino Linotype" w:hAnsi="Palatino Linotype"/>
                <w:sz w:val="18"/>
                <w:szCs w:val="18"/>
              </w:rPr>
            </w:pPr>
          </w:p>
        </w:tc>
        <w:tc>
          <w:tcPr>
            <w:tcW w:w="1134" w:type="dxa"/>
            <w:vMerge/>
            <w:tcBorders>
              <w:top w:val="nil"/>
              <w:left w:val="nil"/>
              <w:bottom w:val="nil"/>
              <w:right w:val="nil"/>
            </w:tcBorders>
          </w:tcPr>
          <w:p w14:paraId="01147159" w14:textId="77777777" w:rsidR="006423CD" w:rsidRPr="00575089" w:rsidRDefault="006423CD" w:rsidP="00C179A0">
            <w:pPr>
              <w:contextualSpacing/>
              <w:jc w:val="center"/>
              <w:rPr>
                <w:rFonts w:ascii="Palatino Linotype" w:hAnsi="Palatino Linotype"/>
                <w:sz w:val="18"/>
                <w:szCs w:val="18"/>
              </w:rPr>
            </w:pPr>
          </w:p>
        </w:tc>
      </w:tr>
      <w:tr w:rsidR="006423CD" w:rsidRPr="00575089" w14:paraId="5A34C348" w14:textId="77777777" w:rsidTr="006423CD">
        <w:trPr>
          <w:jc w:val="center"/>
        </w:trPr>
        <w:tc>
          <w:tcPr>
            <w:tcW w:w="1306" w:type="dxa"/>
            <w:vMerge/>
            <w:tcBorders>
              <w:top w:val="nil"/>
              <w:left w:val="nil"/>
              <w:bottom w:val="single" w:sz="4" w:space="0" w:color="auto"/>
              <w:right w:val="nil"/>
            </w:tcBorders>
          </w:tcPr>
          <w:p w14:paraId="0EA209B2" w14:textId="77777777" w:rsidR="006423CD" w:rsidRPr="00575089" w:rsidRDefault="006423CD" w:rsidP="00C179A0">
            <w:pPr>
              <w:contextualSpacing/>
              <w:rPr>
                <w:rFonts w:ascii="Palatino Linotype" w:hAnsi="Palatino Linotype"/>
                <w:sz w:val="18"/>
                <w:szCs w:val="18"/>
              </w:rPr>
            </w:pPr>
          </w:p>
        </w:tc>
        <w:tc>
          <w:tcPr>
            <w:tcW w:w="1433" w:type="dxa"/>
            <w:tcBorders>
              <w:top w:val="nil"/>
              <w:left w:val="nil"/>
              <w:bottom w:val="single" w:sz="4" w:space="0" w:color="auto"/>
              <w:right w:val="nil"/>
            </w:tcBorders>
            <w:vAlign w:val="center"/>
          </w:tcPr>
          <w:p w14:paraId="795ABB81" w14:textId="77777777" w:rsidR="006423CD" w:rsidRPr="00575089" w:rsidRDefault="006423CD" w:rsidP="00C179A0">
            <w:pPr>
              <w:contextualSpacing/>
              <w:jc w:val="center"/>
              <w:rPr>
                <w:rFonts w:ascii="Palatino Linotype" w:hAnsi="Palatino Linotype"/>
                <w:sz w:val="18"/>
                <w:szCs w:val="18"/>
              </w:rPr>
            </w:pPr>
            <w:r w:rsidRPr="00575089">
              <w:rPr>
                <w:rFonts w:ascii="Palatino Linotype" w:hAnsi="Palatino Linotype"/>
                <w:sz w:val="18"/>
                <w:szCs w:val="18"/>
              </w:rPr>
              <w:t>IU4</w:t>
            </w:r>
          </w:p>
        </w:tc>
        <w:tc>
          <w:tcPr>
            <w:tcW w:w="1644" w:type="dxa"/>
            <w:tcBorders>
              <w:top w:val="nil"/>
              <w:left w:val="nil"/>
              <w:bottom w:val="single" w:sz="4" w:space="0" w:color="auto"/>
              <w:right w:val="nil"/>
            </w:tcBorders>
            <w:vAlign w:val="center"/>
          </w:tcPr>
          <w:p w14:paraId="28D83126" w14:textId="77777777" w:rsidR="006423CD" w:rsidRPr="00575089" w:rsidRDefault="006423CD" w:rsidP="00C179A0">
            <w:pPr>
              <w:contextualSpacing/>
              <w:jc w:val="center"/>
              <w:rPr>
                <w:rFonts w:ascii="Palatino Linotype" w:hAnsi="Palatino Linotype"/>
                <w:sz w:val="18"/>
                <w:szCs w:val="18"/>
              </w:rPr>
            </w:pPr>
            <w:r w:rsidRPr="00575089">
              <w:rPr>
                <w:rFonts w:ascii="Palatino Linotype" w:hAnsi="Palatino Linotype"/>
                <w:sz w:val="18"/>
                <w:szCs w:val="18"/>
              </w:rPr>
              <w:t>0.823</w:t>
            </w:r>
          </w:p>
        </w:tc>
        <w:tc>
          <w:tcPr>
            <w:tcW w:w="1034" w:type="dxa"/>
            <w:vMerge/>
            <w:tcBorders>
              <w:top w:val="nil"/>
              <w:left w:val="nil"/>
              <w:bottom w:val="single" w:sz="4" w:space="0" w:color="auto"/>
              <w:right w:val="nil"/>
            </w:tcBorders>
            <w:vAlign w:val="center"/>
          </w:tcPr>
          <w:p w14:paraId="08E2429E" w14:textId="77777777" w:rsidR="006423CD" w:rsidRPr="00575089" w:rsidRDefault="006423CD" w:rsidP="00C179A0">
            <w:pPr>
              <w:contextualSpacing/>
              <w:jc w:val="center"/>
              <w:rPr>
                <w:rFonts w:ascii="Palatino Linotype" w:hAnsi="Palatino Linotype"/>
                <w:sz w:val="18"/>
                <w:szCs w:val="18"/>
              </w:rPr>
            </w:pPr>
          </w:p>
        </w:tc>
        <w:tc>
          <w:tcPr>
            <w:tcW w:w="1134" w:type="dxa"/>
            <w:vMerge/>
            <w:tcBorders>
              <w:top w:val="nil"/>
              <w:left w:val="nil"/>
              <w:bottom w:val="single" w:sz="4" w:space="0" w:color="auto"/>
              <w:right w:val="nil"/>
            </w:tcBorders>
          </w:tcPr>
          <w:p w14:paraId="6B2269A2" w14:textId="77777777" w:rsidR="006423CD" w:rsidRPr="00575089" w:rsidRDefault="006423CD" w:rsidP="00C179A0">
            <w:pPr>
              <w:contextualSpacing/>
              <w:jc w:val="center"/>
              <w:rPr>
                <w:rFonts w:ascii="Palatino Linotype" w:hAnsi="Palatino Linotype"/>
                <w:sz w:val="18"/>
                <w:szCs w:val="18"/>
              </w:rPr>
            </w:pPr>
          </w:p>
        </w:tc>
        <w:tc>
          <w:tcPr>
            <w:tcW w:w="1134" w:type="dxa"/>
            <w:vMerge/>
            <w:tcBorders>
              <w:top w:val="nil"/>
              <w:left w:val="nil"/>
              <w:bottom w:val="single" w:sz="4" w:space="0" w:color="auto"/>
              <w:right w:val="nil"/>
            </w:tcBorders>
          </w:tcPr>
          <w:p w14:paraId="223B5B92" w14:textId="77777777" w:rsidR="006423CD" w:rsidRPr="00575089" w:rsidRDefault="006423CD" w:rsidP="00C179A0">
            <w:pPr>
              <w:contextualSpacing/>
              <w:jc w:val="center"/>
              <w:rPr>
                <w:rFonts w:ascii="Palatino Linotype" w:hAnsi="Palatino Linotype"/>
                <w:sz w:val="18"/>
                <w:szCs w:val="18"/>
              </w:rPr>
            </w:pPr>
          </w:p>
        </w:tc>
      </w:tr>
    </w:tbl>
    <w:p w14:paraId="127BF3D9" w14:textId="6EB96D12" w:rsidR="00575089" w:rsidRPr="000D503D" w:rsidRDefault="008919B3" w:rsidP="00575089">
      <w:pPr>
        <w:pStyle w:val="Subsubjudul"/>
        <w:spacing w:line="240" w:lineRule="auto"/>
        <w:ind w:left="567" w:hanging="567"/>
        <w:rPr>
          <w:i w:val="0"/>
          <w:iCs/>
          <w:color w:val="000000" w:themeColor="text1"/>
          <w:lang w:val="en-ID"/>
        </w:rPr>
      </w:pPr>
      <w:r>
        <w:rPr>
          <w:i w:val="0"/>
          <w:iCs/>
          <w:lang w:val="en-ID"/>
        </w:rPr>
        <w:t xml:space="preserve">The </w:t>
      </w:r>
      <w:r w:rsidR="00C46C98">
        <w:rPr>
          <w:i w:val="0"/>
          <w:iCs/>
          <w:lang w:val="en-ID"/>
        </w:rPr>
        <w:t>calculation</w:t>
      </w:r>
      <w:r>
        <w:rPr>
          <w:i w:val="0"/>
          <w:iCs/>
          <w:lang w:val="en-ID"/>
        </w:rPr>
        <w:t xml:space="preserve"> of Structural Model</w:t>
      </w:r>
    </w:p>
    <w:p w14:paraId="47B2D549" w14:textId="052F964D" w:rsidR="000D503D" w:rsidRDefault="00046B10" w:rsidP="000D503D">
      <w:pPr>
        <w:pStyle w:val="Subsubjudul"/>
        <w:numPr>
          <w:ilvl w:val="0"/>
          <w:numId w:val="0"/>
        </w:numPr>
        <w:spacing w:line="240" w:lineRule="auto"/>
        <w:rPr>
          <w:b w:val="0"/>
          <w:i w:val="0"/>
          <w:iCs/>
          <w:lang w:val="fi-FI"/>
        </w:rPr>
      </w:pPr>
      <w:r>
        <w:rPr>
          <w:b w:val="0"/>
          <w:i w:val="0"/>
          <w:iCs/>
          <w:lang w:val="fi-FI"/>
        </w:rPr>
        <w:t xml:space="preserve">After </w:t>
      </w:r>
      <w:r w:rsidR="000D503D" w:rsidRPr="00046B10">
        <w:rPr>
          <w:b w:val="0"/>
          <w:i w:val="0"/>
          <w:iCs/>
          <w:lang w:val="fi-FI"/>
        </w:rPr>
        <w:t xml:space="preserve">the research model goes through measurement model testing, the model will go through structural model testing. In structural model testing, an inner model evaluation will be carried out with the PLS algorithm's help. Structural model testing is also called the second stage of testing which will test the study </w:t>
      </w:r>
      <w:r w:rsidR="000D503D" w:rsidRPr="00046B10">
        <w:rPr>
          <w:b w:val="0"/>
          <w:i w:val="0"/>
          <w:iCs/>
          <w:lang w:val="fi-FI"/>
        </w:rPr>
        <w:fldChar w:fldCharType="begin" w:fldLock="1"/>
      </w:r>
      <w:r w:rsidR="00310DED">
        <w:rPr>
          <w:b w:val="0"/>
          <w:i w:val="0"/>
          <w:iCs/>
          <w:lang w:val="fi-FI"/>
        </w:rPr>
        <w:instrText>ADDIN CSL_CITATION {"citationItems":[{"id":"ITEM-1","itemData":{"DOI":"10.1016/j.ijinfomgt.2018.09.002","ISSN":"02684012","abstract":"Mobile banking is one of the most promising technologies that has emerged in recent years and could prove to have considerable value to both banks and customers. Thus, this study recognises the need to test the main factors that could predict the use of mobile banking as well as how using such a system could contribute to both customer satisfaction and customer loyalty. The conceptual model of this study combines two models (i.e. UTAUT2 and the D&amp;M IS Success Model). A questionnaire survey was conducted to collect the required data from convenience sampling of Saudi bank customers. The main factors – performance expectancy, price value, facilitating conditions, hedonic motivation, habit, system quality and service quality – were found to have a significant impact on actual use behaviour. This study was cross-sectional, therefore future studies should implement longitudinal studies in order to re-collect the findings. Further, this study adopted convenience sampling of Saudi M-Banking users. This may adversely impact the issue of generalisability to the whole population. The gap in the M-Banking literature in Saudi Arabia would be bridged by proposing a comprehensive conceptual model that scrupulously clarifies the use of M-Banking from the perspective of Saudi users. Furthermore, this study would consider the adoption of numeric data in order to inferentially analyse them using SEM. This in turn would assist in generalising the findings to the whole Saudi population.","author":[{"dropping-particle":"","family":"Baabdullah","given":"Abdullah M.","non-dropping-particle":"","parse-names":false,"suffix":""},{"dropping-particle":"","family":"Alalwan","given":"Ali Abdallah","non-dropping-particle":"","parse-names":false,"suffix":""},{"dropping-particle":"","family":"Rana","given":"Nripendra P.","non-dropping-particle":"","parse-names":false,"suffix":""},{"dropping-particle":"","family":"Kizgin","given":"Hatice","non-dropping-particle":"","parse-names":false,"suffix":""},{"dropping-particle":"","family":"Patil","given":"Pushp","non-dropping-particle":"","parse-names":false,"suffix":""}],"container-title":"International Journal of Information Management","id":"ITEM-1","issue":"August 2018","issued":{"date-parts":[["2019"]]},"page":"38-52","publisher":"Elsevier","title":"Consumer use of mobile banking (M-Banking) in Saudi Arabia: Towards an integrated model","type":"article-journal","volume":"44"},"uris":["http://www.mendeley.com/documents/?uuid=ef43eb0c-130e-4d78-81e2-f2be40028c5b"]}],"mendeley":{"formattedCitation":"[36]","plainTextFormattedCitation":"[36]","previouslyFormattedCitation":"[36]"},"properties":{"noteIndex":0},"schema":"https://github.com/citation-style-language/schema/raw/master/csl-citation.json"}</w:instrText>
      </w:r>
      <w:r w:rsidR="000D503D" w:rsidRPr="00046B10">
        <w:rPr>
          <w:b w:val="0"/>
          <w:i w:val="0"/>
          <w:iCs/>
          <w:lang w:val="fi-FI"/>
        </w:rPr>
        <w:fldChar w:fldCharType="separate"/>
      </w:r>
      <w:r w:rsidR="00227A76" w:rsidRPr="00227A76">
        <w:rPr>
          <w:b w:val="0"/>
          <w:i w:val="0"/>
          <w:iCs/>
          <w:noProof/>
          <w:lang w:val="fi-FI"/>
        </w:rPr>
        <w:t>[36]</w:t>
      </w:r>
      <w:r w:rsidR="000D503D" w:rsidRPr="00046B10">
        <w:rPr>
          <w:b w:val="0"/>
          <w:i w:val="0"/>
          <w:iCs/>
          <w:lang w:val="fi-FI"/>
        </w:rPr>
        <w:fldChar w:fldCharType="end"/>
      </w:r>
      <w:r w:rsidR="000D503D" w:rsidRPr="00046B10">
        <w:rPr>
          <w:b w:val="0"/>
          <w:i w:val="0"/>
          <w:iCs/>
          <w:lang w:val="fi-FI"/>
        </w:rPr>
        <w:t xml:space="preserve">. Testing the structural model can use the </w:t>
      </w:r>
      <w:r w:rsidR="000D503D" w:rsidRPr="00046B10">
        <w:rPr>
          <w:b w:val="0"/>
          <w:lang w:val="fi-FI"/>
        </w:rPr>
        <w:t>R</w:t>
      </w:r>
      <w:r w:rsidR="000D503D" w:rsidRPr="00046B10">
        <w:rPr>
          <w:b w:val="0"/>
          <w:vertAlign w:val="superscript"/>
          <w:lang w:val="fi-FI"/>
        </w:rPr>
        <w:t>2</w:t>
      </w:r>
      <w:r w:rsidR="000D503D" w:rsidRPr="00046B10">
        <w:rPr>
          <w:b w:val="0"/>
          <w:i w:val="0"/>
          <w:iCs/>
          <w:lang w:val="fi-FI"/>
        </w:rPr>
        <w:t xml:space="preserve"> value and the path coefficient. The value of R</w:t>
      </w:r>
      <w:r w:rsidR="000D503D" w:rsidRPr="00046B10">
        <w:rPr>
          <w:b w:val="0"/>
          <w:i w:val="0"/>
          <w:iCs/>
          <w:vertAlign w:val="superscript"/>
          <w:lang w:val="fi-FI"/>
        </w:rPr>
        <w:t>2</w:t>
      </w:r>
      <w:r w:rsidR="000D503D" w:rsidRPr="00046B10">
        <w:rPr>
          <w:b w:val="0"/>
          <w:i w:val="0"/>
          <w:iCs/>
          <w:lang w:val="fi-FI"/>
        </w:rPr>
        <w:t xml:space="preserve"> shows how much the research model explains the construct for intention to use on FinTech lending in Indonesia. The range of R</w:t>
      </w:r>
      <w:r w:rsidR="000D503D" w:rsidRPr="00046B10">
        <w:rPr>
          <w:b w:val="0"/>
          <w:i w:val="0"/>
          <w:iCs/>
          <w:vertAlign w:val="superscript"/>
          <w:lang w:val="fi-FI"/>
        </w:rPr>
        <w:t>2</w:t>
      </w:r>
      <w:r w:rsidR="000D503D" w:rsidRPr="00046B10">
        <w:rPr>
          <w:b w:val="0"/>
          <w:i w:val="0"/>
          <w:iCs/>
          <w:lang w:val="fi-FI"/>
        </w:rPr>
        <w:t xml:space="preserve"> values ​​is from 0 to 1 and the value 1 shows the highest level of accuracy of a research model </w:t>
      </w:r>
      <w:r w:rsidR="000D503D" w:rsidRPr="00046B10">
        <w:rPr>
          <w:b w:val="0"/>
          <w:i w:val="0"/>
          <w:iCs/>
          <w:lang w:val="fi-FI"/>
        </w:rPr>
        <w:fldChar w:fldCharType="begin" w:fldLock="1"/>
      </w:r>
      <w:r w:rsidR="00310DED">
        <w:rPr>
          <w:b w:val="0"/>
          <w:i w:val="0"/>
          <w:iCs/>
          <w:lang w:val="fi-FI"/>
        </w:rPr>
        <w:instrText>ADDIN CSL_CITATION {"citationItems":[{"id":"ITEM-1","itemData":{"DOI":"10.1016/j.jbusres.2019.11.069","ISSN":"01482963","abstract":"Confirmatory factor analysis (CFA) has historically been used to develop and improve reflectively measured constructs based on the domain sampling model. Compared to CFA, confirmatory composite analysis (CCA) is a recently proposed alternative approach applied to confirm measurement models when using partial least squares structural equation modeling (PLS-SEM). CCA is a series of steps executed with PLS-SEM to confirm both reflective and formative measurement models of established measures that are being updated or adapted to a different context. CCA is also useful for developing new measures. Finally, CCA offers several advantages over other approaches for confirming measurement models consisting of linear composites.","author":[{"dropping-particle":"","family":"Hair","given":"Joe F.","non-dropping-particle":"","parse-names":false,"suffix":""},{"dropping-particle":"","family":"Howard","given":"Matthew C.","non-dropping-particle":"","parse-names":false,"suffix":""},{"dropping-particle":"","family":"Nitzl","given":"Christian","non-dropping-particle":"","parse-names":false,"suffix":""}],"container-title":"Journal of Business Research","id":"ITEM-1","issue":"November 2019","issued":{"date-parts":[["2020"]]},"page":"101-110","publisher":"Elsevier","title":"Assessing measurement model quality in PLS-SEM using confirmatory composite analysis","type":"article-journal","volume":"109"},"uris":["http://www.mendeley.com/documents/?uuid=9df6df92-8a65-41a5-96bf-8800f9f084bd"]}],"mendeley":{"formattedCitation":"[33]","plainTextFormattedCitation":"[33]","previouslyFormattedCitation":"[33]"},"properties":{"noteIndex":0},"schema":"https://github.com/citation-style-language/schema/raw/master/csl-citation.json"}</w:instrText>
      </w:r>
      <w:r w:rsidR="000D503D" w:rsidRPr="00046B10">
        <w:rPr>
          <w:b w:val="0"/>
          <w:i w:val="0"/>
          <w:iCs/>
          <w:lang w:val="fi-FI"/>
        </w:rPr>
        <w:fldChar w:fldCharType="separate"/>
      </w:r>
      <w:r w:rsidR="00227A76" w:rsidRPr="00227A76">
        <w:rPr>
          <w:b w:val="0"/>
          <w:i w:val="0"/>
          <w:iCs/>
          <w:noProof/>
          <w:lang w:val="fi-FI"/>
        </w:rPr>
        <w:t>[33]</w:t>
      </w:r>
      <w:r w:rsidR="000D503D" w:rsidRPr="00046B10">
        <w:rPr>
          <w:b w:val="0"/>
          <w:i w:val="0"/>
          <w:iCs/>
          <w:lang w:val="fi-FI"/>
        </w:rPr>
        <w:fldChar w:fldCharType="end"/>
      </w:r>
      <w:r w:rsidR="000D503D" w:rsidRPr="00046B10">
        <w:rPr>
          <w:b w:val="0"/>
          <w:i w:val="0"/>
          <w:iCs/>
          <w:lang w:val="fi-FI"/>
        </w:rPr>
        <w:t xml:space="preserve">. The </w:t>
      </w:r>
      <w:r w:rsidR="000D503D" w:rsidRPr="00046B10">
        <w:rPr>
          <w:b w:val="0"/>
          <w:lang w:val="fi-FI"/>
        </w:rPr>
        <w:t>R</w:t>
      </w:r>
      <w:r w:rsidR="000D503D" w:rsidRPr="00046B10">
        <w:rPr>
          <w:b w:val="0"/>
          <w:vertAlign w:val="superscript"/>
          <w:lang w:val="fi-FI"/>
        </w:rPr>
        <w:t>2</w:t>
      </w:r>
      <w:r w:rsidR="000D503D" w:rsidRPr="00046B10">
        <w:rPr>
          <w:b w:val="0"/>
          <w:i w:val="0"/>
          <w:iCs/>
          <w:lang w:val="fi-FI"/>
        </w:rPr>
        <w:t xml:space="preserve"> value of this study is 0.789, which means that the variability of the IU value in FinTech lending in Indonesia can be explained from the FM and PI constructs of 78.9%. Meanwhile, the remaining 21.1% is </w:t>
      </w:r>
      <w:r w:rsidR="00D97BDA">
        <w:rPr>
          <w:b w:val="0"/>
          <w:i w:val="0"/>
          <w:iCs/>
          <w:lang w:val="fi-FI"/>
        </w:rPr>
        <w:t>clarified</w:t>
      </w:r>
      <w:r w:rsidR="000D503D" w:rsidRPr="00046B10">
        <w:rPr>
          <w:b w:val="0"/>
          <w:i w:val="0"/>
          <w:iCs/>
          <w:lang w:val="fi-FI"/>
        </w:rPr>
        <w:t xml:space="preserve"> by other constructs not </w:t>
      </w:r>
      <w:r w:rsidR="00C46C98">
        <w:rPr>
          <w:b w:val="0"/>
          <w:i w:val="0"/>
          <w:iCs/>
          <w:lang w:val="fi-FI"/>
        </w:rPr>
        <w:t>investigated</w:t>
      </w:r>
      <w:r w:rsidR="000D503D" w:rsidRPr="00046B10">
        <w:rPr>
          <w:b w:val="0"/>
          <w:i w:val="0"/>
          <w:iCs/>
          <w:lang w:val="fi-FI"/>
        </w:rPr>
        <w:t xml:space="preserve"> in this study. The</w:t>
      </w:r>
      <w:r w:rsidR="000D503D" w:rsidRPr="00046B10">
        <w:rPr>
          <w:b w:val="0"/>
          <w:lang w:val="fi-FI"/>
        </w:rPr>
        <w:t xml:space="preserve"> R</w:t>
      </w:r>
      <w:r w:rsidR="000D503D" w:rsidRPr="00046B10">
        <w:rPr>
          <w:b w:val="0"/>
          <w:vertAlign w:val="superscript"/>
          <w:lang w:val="fi-FI"/>
        </w:rPr>
        <w:t>2</w:t>
      </w:r>
      <w:r w:rsidR="000D503D" w:rsidRPr="00046B10">
        <w:rPr>
          <w:b w:val="0"/>
          <w:i w:val="0"/>
          <w:iCs/>
          <w:lang w:val="fi-FI"/>
        </w:rPr>
        <w:t xml:space="preserve"> value of this study is shown in Figure 3.</w:t>
      </w:r>
    </w:p>
    <w:p w14:paraId="181C58BF" w14:textId="77777777" w:rsidR="00046B10" w:rsidRDefault="00046B10" w:rsidP="00046B10">
      <w:pPr>
        <w:pStyle w:val="BodyText"/>
        <w:spacing w:before="200" w:line="288" w:lineRule="auto"/>
        <w:jc w:val="center"/>
        <w:rPr>
          <w:bCs/>
          <w:lang w:val="fi-FI"/>
        </w:rPr>
      </w:pPr>
      <w:r>
        <w:rPr>
          <w:noProof/>
          <w:lang w:eastAsia="x-none"/>
        </w:rPr>
        <w:drawing>
          <wp:inline distT="0" distB="0" distL="0" distR="0" wp14:anchorId="2286C491" wp14:editId="272FAD05">
            <wp:extent cx="5231958" cy="3829886"/>
            <wp:effectExtent l="0" t="0" r="698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l="14755" t="10945"/>
                    <a:stretch>
                      <a:fillRect/>
                    </a:stretch>
                  </pic:blipFill>
                  <pic:spPr bwMode="auto">
                    <a:xfrm>
                      <a:off x="0" y="0"/>
                      <a:ext cx="5278526" cy="3863975"/>
                    </a:xfrm>
                    <a:prstGeom prst="rect">
                      <a:avLst/>
                    </a:prstGeom>
                    <a:noFill/>
                    <a:ln>
                      <a:noFill/>
                    </a:ln>
                  </pic:spPr>
                </pic:pic>
              </a:graphicData>
            </a:graphic>
          </wp:inline>
        </w:drawing>
      </w:r>
    </w:p>
    <w:p w14:paraId="2DC5CB7D" w14:textId="2AD17466" w:rsidR="00046B10" w:rsidRPr="0031699D" w:rsidRDefault="00046B10" w:rsidP="00046B10">
      <w:pPr>
        <w:pStyle w:val="BodyText"/>
        <w:spacing w:before="127" w:line="288" w:lineRule="auto"/>
        <w:jc w:val="center"/>
        <w:rPr>
          <w:rFonts w:ascii="Palatino Linotype" w:hAnsi="Palatino Linotype"/>
          <w:bCs/>
          <w:sz w:val="20"/>
          <w:szCs w:val="20"/>
        </w:rPr>
      </w:pPr>
      <w:r w:rsidRPr="0031699D">
        <w:rPr>
          <w:rFonts w:ascii="Palatino Linotype" w:hAnsi="Palatino Linotype"/>
          <w:bCs/>
          <w:sz w:val="20"/>
          <w:szCs w:val="20"/>
        </w:rPr>
        <w:t>Figure 3. The Measurement Result of Research Model</w:t>
      </w:r>
    </w:p>
    <w:p w14:paraId="2B3D836C" w14:textId="20AACEDC" w:rsidR="008919B3" w:rsidRPr="00046B10" w:rsidRDefault="008919B3" w:rsidP="00575089">
      <w:pPr>
        <w:pStyle w:val="Subsubjudul"/>
        <w:spacing w:line="240" w:lineRule="auto"/>
        <w:ind w:left="567" w:hanging="567"/>
        <w:rPr>
          <w:i w:val="0"/>
          <w:iCs/>
          <w:color w:val="000000" w:themeColor="text1"/>
          <w:lang w:val="en-ID"/>
        </w:rPr>
      </w:pPr>
      <w:r>
        <w:rPr>
          <w:i w:val="0"/>
          <w:iCs/>
          <w:lang w:val="en-ID"/>
        </w:rPr>
        <w:t>Hypothesis Testing</w:t>
      </w:r>
    </w:p>
    <w:p w14:paraId="53CE97F3" w14:textId="3088106F" w:rsidR="00046B10" w:rsidRPr="0030541C" w:rsidRDefault="00046B10" w:rsidP="0030541C">
      <w:pPr>
        <w:pStyle w:val="SubJudul"/>
        <w:numPr>
          <w:ilvl w:val="0"/>
          <w:numId w:val="0"/>
        </w:numPr>
        <w:rPr>
          <w:b w:val="0"/>
          <w:szCs w:val="20"/>
          <w:lang w:val="en-US"/>
        </w:rPr>
      </w:pPr>
      <w:r w:rsidRPr="0030541C">
        <w:rPr>
          <w:b w:val="0"/>
          <w:lang w:val="fi-FI"/>
        </w:rPr>
        <w:t xml:space="preserve">Hypothesis testing is done by first determining the type of </w:t>
      </w:r>
      <w:r w:rsidR="00D97BDA">
        <w:rPr>
          <w:b w:val="0"/>
          <w:lang w:val="fi-FI"/>
        </w:rPr>
        <w:t>examination</w:t>
      </w:r>
      <w:r w:rsidRPr="0030541C">
        <w:rPr>
          <w:b w:val="0"/>
          <w:lang w:val="fi-FI"/>
        </w:rPr>
        <w:t xml:space="preserve">. This study </w:t>
      </w:r>
      <w:r w:rsidR="00D97BDA">
        <w:rPr>
          <w:b w:val="0"/>
          <w:lang w:val="fi-FI"/>
        </w:rPr>
        <w:t>adopts</w:t>
      </w:r>
      <w:r w:rsidRPr="0030541C">
        <w:rPr>
          <w:b w:val="0"/>
          <w:lang w:val="fi-FI"/>
        </w:rPr>
        <w:t xml:space="preserve"> a two-tailed type of </w:t>
      </w:r>
      <w:r w:rsidR="00D97BDA">
        <w:rPr>
          <w:b w:val="0"/>
          <w:lang w:val="fi-FI"/>
        </w:rPr>
        <w:t>examination</w:t>
      </w:r>
      <w:r w:rsidRPr="0030541C">
        <w:rPr>
          <w:b w:val="0"/>
          <w:lang w:val="fi-FI"/>
        </w:rPr>
        <w:t xml:space="preserve"> because the direction of the relationship from the hypothesis developed in this study is </w:t>
      </w:r>
      <w:r w:rsidR="00C46C98">
        <w:rPr>
          <w:b w:val="0"/>
          <w:lang w:val="fi-FI"/>
        </w:rPr>
        <w:t>unexplained</w:t>
      </w:r>
      <w:r w:rsidRPr="0030541C">
        <w:rPr>
          <w:b w:val="0"/>
          <w:lang w:val="fi-FI"/>
        </w:rPr>
        <w:t xml:space="preserve"> and will only be tested in this study. The level of significance used in this study was 0.05. The SmartPLS software regulates this level of significance in the bootstrap calculation section. If the selected test type is two-tailed and the significance level chosen is 0.05, then the t-value </w:t>
      </w:r>
      <w:r w:rsidR="00D97BDA">
        <w:rPr>
          <w:b w:val="0"/>
          <w:lang w:val="fi-FI"/>
        </w:rPr>
        <w:t>should</w:t>
      </w:r>
      <w:r w:rsidRPr="0030541C">
        <w:rPr>
          <w:b w:val="0"/>
          <w:lang w:val="fi-FI"/>
        </w:rPr>
        <w:t xml:space="preserve"> be greater than 1.64. The results of hypothesis testing are </w:t>
      </w:r>
      <w:r w:rsidR="00C46C98">
        <w:rPr>
          <w:b w:val="0"/>
          <w:lang w:val="fi-FI"/>
        </w:rPr>
        <w:t>presented</w:t>
      </w:r>
      <w:r w:rsidRPr="0030541C">
        <w:rPr>
          <w:b w:val="0"/>
          <w:lang w:val="fi-FI"/>
        </w:rPr>
        <w:t xml:space="preserve"> in Table 4. Based on the results of hypothesis testing, it can be </w:t>
      </w:r>
      <w:r w:rsidR="00C46C98">
        <w:rPr>
          <w:b w:val="0"/>
          <w:lang w:val="fi-FI"/>
        </w:rPr>
        <w:t>compeleted</w:t>
      </w:r>
      <w:r w:rsidRPr="0030541C">
        <w:rPr>
          <w:b w:val="0"/>
          <w:lang w:val="fi-FI"/>
        </w:rPr>
        <w:t xml:space="preserve"> that FA and PI are </w:t>
      </w:r>
      <w:r w:rsidR="00785F9C">
        <w:rPr>
          <w:b w:val="0"/>
          <w:szCs w:val="20"/>
          <w:lang w:val="en-US"/>
        </w:rPr>
        <w:t>demonstrated</w:t>
      </w:r>
      <w:r w:rsidRPr="0030541C">
        <w:rPr>
          <w:b w:val="0"/>
          <w:szCs w:val="20"/>
          <w:lang w:val="en-US"/>
        </w:rPr>
        <w:t xml:space="preserve"> to affect IU.</w:t>
      </w:r>
    </w:p>
    <w:p w14:paraId="3BBF9FE3" w14:textId="77777777" w:rsidR="00046B10" w:rsidRPr="00046B10" w:rsidRDefault="00046B10" w:rsidP="00046B10">
      <w:pPr>
        <w:pStyle w:val="SubJudul"/>
        <w:numPr>
          <w:ilvl w:val="0"/>
          <w:numId w:val="0"/>
        </w:numPr>
        <w:jc w:val="center"/>
        <w:rPr>
          <w:b w:val="0"/>
          <w:szCs w:val="20"/>
          <w:lang w:val="en-US"/>
        </w:rPr>
      </w:pPr>
      <w:r w:rsidRPr="00046B10">
        <w:rPr>
          <w:b w:val="0"/>
          <w:szCs w:val="20"/>
          <w:lang w:val="en-US"/>
        </w:rPr>
        <w:t>Table 4. The Results of Hypothesis Testing</w:t>
      </w:r>
    </w:p>
    <w:tbl>
      <w:tblPr>
        <w:tblW w:w="8102" w:type="dxa"/>
        <w:jc w:val="center"/>
        <w:tblLayout w:type="fixed"/>
        <w:tblLook w:val="01E0" w:firstRow="1" w:lastRow="1" w:firstColumn="1" w:lastColumn="1" w:noHBand="0" w:noVBand="0"/>
      </w:tblPr>
      <w:tblGrid>
        <w:gridCol w:w="2119"/>
        <w:gridCol w:w="2155"/>
        <w:gridCol w:w="1701"/>
        <w:gridCol w:w="2127"/>
      </w:tblGrid>
      <w:tr w:rsidR="00046B10" w:rsidRPr="00046B10" w14:paraId="1BDBAAF6" w14:textId="77777777" w:rsidTr="00046B10">
        <w:trPr>
          <w:jc w:val="center"/>
        </w:trPr>
        <w:tc>
          <w:tcPr>
            <w:tcW w:w="2119" w:type="dxa"/>
            <w:tcBorders>
              <w:top w:val="single" w:sz="4" w:space="0" w:color="auto"/>
              <w:bottom w:val="single" w:sz="4" w:space="0" w:color="auto"/>
            </w:tcBorders>
            <w:vAlign w:val="center"/>
          </w:tcPr>
          <w:p w14:paraId="719C8E02" w14:textId="77777777" w:rsidR="00046B10" w:rsidRPr="00046B10" w:rsidRDefault="00046B10" w:rsidP="00C179A0">
            <w:pPr>
              <w:contextualSpacing/>
              <w:jc w:val="center"/>
              <w:rPr>
                <w:rFonts w:ascii="Palatino Linotype" w:hAnsi="Palatino Linotype"/>
                <w:b/>
                <w:sz w:val="18"/>
                <w:szCs w:val="18"/>
              </w:rPr>
            </w:pPr>
            <w:r w:rsidRPr="00046B10">
              <w:rPr>
                <w:rFonts w:ascii="Palatino Linotype" w:hAnsi="Palatino Linotype"/>
                <w:b/>
                <w:sz w:val="18"/>
                <w:szCs w:val="18"/>
              </w:rPr>
              <w:t>Hypothesis</w:t>
            </w:r>
          </w:p>
        </w:tc>
        <w:tc>
          <w:tcPr>
            <w:tcW w:w="2155" w:type="dxa"/>
            <w:tcBorders>
              <w:top w:val="single" w:sz="4" w:space="0" w:color="auto"/>
              <w:bottom w:val="single" w:sz="4" w:space="0" w:color="auto"/>
            </w:tcBorders>
          </w:tcPr>
          <w:p w14:paraId="1E00CDCD" w14:textId="77777777" w:rsidR="00046B10" w:rsidRPr="00046B10" w:rsidRDefault="00046B10" w:rsidP="00C179A0">
            <w:pPr>
              <w:contextualSpacing/>
              <w:jc w:val="center"/>
              <w:rPr>
                <w:rFonts w:ascii="Palatino Linotype" w:hAnsi="Palatino Linotype"/>
                <w:b/>
                <w:sz w:val="18"/>
                <w:szCs w:val="18"/>
              </w:rPr>
            </w:pPr>
            <w:r w:rsidRPr="00046B10">
              <w:rPr>
                <w:rFonts w:ascii="Palatino Linotype" w:hAnsi="Palatino Linotype"/>
                <w:b/>
                <w:sz w:val="18"/>
                <w:szCs w:val="18"/>
              </w:rPr>
              <w:t>Path Coefficient</w:t>
            </w:r>
          </w:p>
        </w:tc>
        <w:tc>
          <w:tcPr>
            <w:tcW w:w="1701" w:type="dxa"/>
            <w:tcBorders>
              <w:top w:val="single" w:sz="4" w:space="0" w:color="auto"/>
              <w:bottom w:val="single" w:sz="4" w:space="0" w:color="auto"/>
            </w:tcBorders>
            <w:vAlign w:val="center"/>
          </w:tcPr>
          <w:p w14:paraId="1FE3FAAE" w14:textId="77777777" w:rsidR="00046B10" w:rsidRPr="00046B10" w:rsidRDefault="00046B10" w:rsidP="00C179A0">
            <w:pPr>
              <w:contextualSpacing/>
              <w:jc w:val="center"/>
              <w:rPr>
                <w:rFonts w:ascii="Palatino Linotype" w:hAnsi="Palatino Linotype"/>
                <w:b/>
                <w:i/>
                <w:sz w:val="18"/>
                <w:szCs w:val="18"/>
              </w:rPr>
            </w:pPr>
            <w:r w:rsidRPr="00046B10">
              <w:rPr>
                <w:rFonts w:ascii="Palatino Linotype" w:hAnsi="Palatino Linotype"/>
                <w:b/>
                <w:i/>
                <w:sz w:val="18"/>
                <w:szCs w:val="18"/>
              </w:rPr>
              <w:t>t-</w:t>
            </w:r>
            <w:r w:rsidRPr="00046B10">
              <w:rPr>
                <w:rFonts w:ascii="Palatino Linotype" w:hAnsi="Palatino Linotype"/>
                <w:b/>
                <w:iCs/>
                <w:sz w:val="18"/>
                <w:szCs w:val="18"/>
              </w:rPr>
              <w:t>Value</w:t>
            </w:r>
          </w:p>
        </w:tc>
        <w:tc>
          <w:tcPr>
            <w:tcW w:w="2127" w:type="dxa"/>
            <w:tcBorders>
              <w:top w:val="single" w:sz="4" w:space="0" w:color="auto"/>
              <w:bottom w:val="single" w:sz="4" w:space="0" w:color="auto"/>
            </w:tcBorders>
            <w:vAlign w:val="center"/>
          </w:tcPr>
          <w:p w14:paraId="0814AA73" w14:textId="77777777" w:rsidR="00046B10" w:rsidRPr="00046B10" w:rsidRDefault="00046B10" w:rsidP="00C179A0">
            <w:pPr>
              <w:contextualSpacing/>
              <w:jc w:val="center"/>
              <w:rPr>
                <w:rFonts w:ascii="Palatino Linotype" w:hAnsi="Palatino Linotype"/>
                <w:b/>
                <w:iCs/>
                <w:sz w:val="18"/>
                <w:szCs w:val="18"/>
              </w:rPr>
            </w:pPr>
            <w:r w:rsidRPr="00046B10">
              <w:rPr>
                <w:rFonts w:ascii="Palatino Linotype" w:hAnsi="Palatino Linotype"/>
                <w:b/>
                <w:iCs/>
                <w:sz w:val="18"/>
                <w:szCs w:val="18"/>
              </w:rPr>
              <w:t>Result</w:t>
            </w:r>
          </w:p>
        </w:tc>
      </w:tr>
      <w:tr w:rsidR="00046B10" w:rsidRPr="00046B10" w14:paraId="378AD60A" w14:textId="77777777" w:rsidTr="00046B10">
        <w:trPr>
          <w:jc w:val="center"/>
        </w:trPr>
        <w:tc>
          <w:tcPr>
            <w:tcW w:w="2119" w:type="dxa"/>
            <w:tcBorders>
              <w:top w:val="single" w:sz="4" w:space="0" w:color="auto"/>
            </w:tcBorders>
            <w:shd w:val="clear" w:color="auto" w:fill="auto"/>
          </w:tcPr>
          <w:p w14:paraId="553A6726" w14:textId="77777777" w:rsidR="00046B10" w:rsidRPr="00046B10" w:rsidRDefault="00046B10" w:rsidP="00C179A0">
            <w:pPr>
              <w:contextualSpacing/>
              <w:jc w:val="center"/>
              <w:rPr>
                <w:rFonts w:ascii="Palatino Linotype" w:hAnsi="Palatino Linotype"/>
                <w:b/>
                <w:bCs/>
                <w:color w:val="2F5496" w:themeColor="accent5" w:themeShade="BF"/>
                <w:sz w:val="18"/>
                <w:szCs w:val="18"/>
              </w:rPr>
            </w:pPr>
            <w:r w:rsidRPr="00046B10">
              <w:rPr>
                <w:rFonts w:ascii="Palatino Linotype" w:hAnsi="Palatino Linotype"/>
                <w:b/>
                <w:bCs/>
                <w:color w:val="2F5496" w:themeColor="accent5" w:themeShade="BF"/>
                <w:sz w:val="18"/>
                <w:szCs w:val="18"/>
              </w:rPr>
              <w:t xml:space="preserve">FA </w:t>
            </w:r>
            <w:r w:rsidRPr="00046B10">
              <w:rPr>
                <w:rFonts w:ascii="Palatino Linotype" w:hAnsi="Palatino Linotype"/>
                <w:b/>
                <w:bCs/>
                <w:color w:val="2F5496" w:themeColor="accent5" w:themeShade="BF"/>
                <w:sz w:val="18"/>
                <w:szCs w:val="18"/>
              </w:rPr>
              <w:sym w:font="Wingdings" w:char="F0E0"/>
            </w:r>
            <w:r w:rsidRPr="00046B10">
              <w:rPr>
                <w:rFonts w:ascii="Palatino Linotype" w:hAnsi="Palatino Linotype"/>
                <w:b/>
                <w:bCs/>
                <w:color w:val="2F5496" w:themeColor="accent5" w:themeShade="BF"/>
                <w:sz w:val="18"/>
                <w:szCs w:val="18"/>
              </w:rPr>
              <w:t xml:space="preserve"> IU</w:t>
            </w:r>
          </w:p>
        </w:tc>
        <w:tc>
          <w:tcPr>
            <w:tcW w:w="2155" w:type="dxa"/>
            <w:tcBorders>
              <w:top w:val="single" w:sz="4" w:space="0" w:color="auto"/>
            </w:tcBorders>
            <w:vAlign w:val="bottom"/>
          </w:tcPr>
          <w:p w14:paraId="3C93F718" w14:textId="77777777" w:rsidR="00046B10" w:rsidRPr="00046B10" w:rsidRDefault="00046B10" w:rsidP="00C179A0">
            <w:pPr>
              <w:contextualSpacing/>
              <w:jc w:val="center"/>
              <w:rPr>
                <w:rFonts w:ascii="Palatino Linotype" w:hAnsi="Palatino Linotype"/>
                <w:b/>
                <w:bCs/>
                <w:color w:val="2F5496" w:themeColor="accent5" w:themeShade="BF"/>
                <w:sz w:val="18"/>
                <w:szCs w:val="18"/>
              </w:rPr>
            </w:pPr>
            <w:r w:rsidRPr="00046B10">
              <w:rPr>
                <w:rFonts w:ascii="Palatino Linotype" w:hAnsi="Palatino Linotype"/>
                <w:b/>
                <w:bCs/>
                <w:color w:val="2F5496" w:themeColor="accent5" w:themeShade="BF"/>
                <w:sz w:val="18"/>
                <w:szCs w:val="18"/>
              </w:rPr>
              <w:t>0.01</w:t>
            </w:r>
          </w:p>
        </w:tc>
        <w:tc>
          <w:tcPr>
            <w:tcW w:w="1701" w:type="dxa"/>
            <w:tcBorders>
              <w:top w:val="single" w:sz="4" w:space="0" w:color="auto"/>
            </w:tcBorders>
            <w:vAlign w:val="bottom"/>
          </w:tcPr>
          <w:p w14:paraId="137B28D7" w14:textId="77777777" w:rsidR="00046B10" w:rsidRPr="00046B10" w:rsidRDefault="00046B10" w:rsidP="00C179A0">
            <w:pPr>
              <w:contextualSpacing/>
              <w:jc w:val="center"/>
              <w:rPr>
                <w:rFonts w:ascii="Palatino Linotype" w:hAnsi="Palatino Linotype"/>
                <w:b/>
                <w:bCs/>
                <w:color w:val="2F5496" w:themeColor="accent5" w:themeShade="BF"/>
                <w:sz w:val="18"/>
                <w:szCs w:val="18"/>
              </w:rPr>
            </w:pPr>
            <w:r w:rsidRPr="00046B10">
              <w:rPr>
                <w:rFonts w:ascii="Palatino Linotype" w:hAnsi="Palatino Linotype"/>
                <w:b/>
                <w:bCs/>
                <w:color w:val="2F5496" w:themeColor="accent5" w:themeShade="BF"/>
                <w:sz w:val="18"/>
                <w:szCs w:val="18"/>
              </w:rPr>
              <w:t>3.233</w:t>
            </w:r>
          </w:p>
        </w:tc>
        <w:tc>
          <w:tcPr>
            <w:tcW w:w="2127" w:type="dxa"/>
            <w:tcBorders>
              <w:top w:val="single" w:sz="4" w:space="0" w:color="auto"/>
            </w:tcBorders>
            <w:vAlign w:val="bottom"/>
          </w:tcPr>
          <w:p w14:paraId="76DA80C4" w14:textId="77777777" w:rsidR="00046B10" w:rsidRPr="00046B10" w:rsidRDefault="00046B10" w:rsidP="00C179A0">
            <w:pPr>
              <w:contextualSpacing/>
              <w:jc w:val="center"/>
              <w:rPr>
                <w:rFonts w:ascii="Palatino Linotype" w:hAnsi="Palatino Linotype"/>
                <w:b/>
                <w:bCs/>
                <w:color w:val="2F5496" w:themeColor="accent5" w:themeShade="BF"/>
                <w:sz w:val="18"/>
                <w:szCs w:val="18"/>
              </w:rPr>
            </w:pPr>
            <w:r w:rsidRPr="00046B10">
              <w:rPr>
                <w:rFonts w:ascii="Palatino Linotype" w:hAnsi="Palatino Linotype"/>
                <w:b/>
                <w:bCs/>
                <w:color w:val="2F5496" w:themeColor="accent5" w:themeShade="BF"/>
                <w:sz w:val="18"/>
                <w:szCs w:val="18"/>
              </w:rPr>
              <w:t xml:space="preserve">Accepted </w:t>
            </w:r>
          </w:p>
        </w:tc>
      </w:tr>
      <w:tr w:rsidR="00046B10" w:rsidRPr="00046B10" w14:paraId="39002BB8" w14:textId="77777777" w:rsidTr="00046B10">
        <w:trPr>
          <w:jc w:val="center"/>
        </w:trPr>
        <w:tc>
          <w:tcPr>
            <w:tcW w:w="2119" w:type="dxa"/>
            <w:shd w:val="clear" w:color="auto" w:fill="auto"/>
          </w:tcPr>
          <w:p w14:paraId="64421AC4" w14:textId="77777777" w:rsidR="00046B10" w:rsidRPr="00046B10" w:rsidRDefault="00046B10" w:rsidP="00C179A0">
            <w:pPr>
              <w:contextualSpacing/>
              <w:jc w:val="center"/>
              <w:rPr>
                <w:rFonts w:ascii="Palatino Linotype" w:hAnsi="Palatino Linotype"/>
                <w:b/>
                <w:bCs/>
                <w:sz w:val="18"/>
                <w:szCs w:val="18"/>
              </w:rPr>
            </w:pPr>
            <w:r w:rsidRPr="00046B10">
              <w:rPr>
                <w:rFonts w:ascii="Palatino Linotype" w:hAnsi="Palatino Linotype"/>
                <w:b/>
                <w:bCs/>
                <w:sz w:val="18"/>
                <w:szCs w:val="18"/>
              </w:rPr>
              <w:t xml:space="preserve">IR </w:t>
            </w:r>
            <w:r w:rsidRPr="00046B10">
              <w:rPr>
                <w:rFonts w:ascii="Palatino Linotype" w:hAnsi="Palatino Linotype"/>
                <w:b/>
                <w:bCs/>
                <w:sz w:val="18"/>
                <w:szCs w:val="18"/>
              </w:rPr>
              <w:sym w:font="Wingdings" w:char="F0E0"/>
            </w:r>
            <w:r w:rsidRPr="00046B10">
              <w:rPr>
                <w:rFonts w:ascii="Palatino Linotype" w:hAnsi="Palatino Linotype"/>
                <w:b/>
                <w:bCs/>
                <w:sz w:val="18"/>
                <w:szCs w:val="18"/>
              </w:rPr>
              <w:t xml:space="preserve"> IU</w:t>
            </w:r>
          </w:p>
        </w:tc>
        <w:tc>
          <w:tcPr>
            <w:tcW w:w="2155" w:type="dxa"/>
            <w:vAlign w:val="center"/>
          </w:tcPr>
          <w:p w14:paraId="5709C8F0" w14:textId="77777777" w:rsidR="00046B10" w:rsidRPr="00046B10" w:rsidRDefault="00046B10" w:rsidP="00C179A0">
            <w:pPr>
              <w:contextualSpacing/>
              <w:jc w:val="center"/>
              <w:rPr>
                <w:rFonts w:ascii="Palatino Linotype" w:hAnsi="Palatino Linotype"/>
                <w:sz w:val="18"/>
                <w:szCs w:val="18"/>
              </w:rPr>
            </w:pPr>
            <w:r w:rsidRPr="00046B10">
              <w:rPr>
                <w:rFonts w:ascii="Palatino Linotype" w:hAnsi="Palatino Linotype"/>
                <w:sz w:val="18"/>
                <w:szCs w:val="18"/>
              </w:rPr>
              <w:t>0.246</w:t>
            </w:r>
          </w:p>
        </w:tc>
        <w:tc>
          <w:tcPr>
            <w:tcW w:w="1701" w:type="dxa"/>
            <w:vAlign w:val="center"/>
          </w:tcPr>
          <w:p w14:paraId="2D6E8312" w14:textId="77777777" w:rsidR="00046B10" w:rsidRPr="00046B10" w:rsidRDefault="00046B10" w:rsidP="00C179A0">
            <w:pPr>
              <w:contextualSpacing/>
              <w:jc w:val="center"/>
              <w:rPr>
                <w:rFonts w:ascii="Palatino Linotype" w:hAnsi="Palatino Linotype"/>
                <w:sz w:val="18"/>
                <w:szCs w:val="18"/>
              </w:rPr>
            </w:pPr>
            <w:r w:rsidRPr="00046B10">
              <w:rPr>
                <w:rFonts w:ascii="Palatino Linotype" w:hAnsi="Palatino Linotype"/>
                <w:sz w:val="18"/>
                <w:szCs w:val="18"/>
              </w:rPr>
              <w:t>1.161</w:t>
            </w:r>
          </w:p>
        </w:tc>
        <w:tc>
          <w:tcPr>
            <w:tcW w:w="2127" w:type="dxa"/>
            <w:vAlign w:val="center"/>
          </w:tcPr>
          <w:p w14:paraId="03A701E4" w14:textId="77777777" w:rsidR="00046B10" w:rsidRPr="00046B10" w:rsidRDefault="00046B10" w:rsidP="00C179A0">
            <w:pPr>
              <w:contextualSpacing/>
              <w:jc w:val="center"/>
              <w:rPr>
                <w:rFonts w:ascii="Palatino Linotype" w:hAnsi="Palatino Linotype"/>
                <w:sz w:val="18"/>
                <w:szCs w:val="18"/>
              </w:rPr>
            </w:pPr>
            <w:r w:rsidRPr="00046B10">
              <w:rPr>
                <w:rFonts w:ascii="Palatino Linotype" w:hAnsi="Palatino Linotype"/>
                <w:sz w:val="18"/>
                <w:szCs w:val="18"/>
              </w:rPr>
              <w:t>Rejected</w:t>
            </w:r>
          </w:p>
        </w:tc>
      </w:tr>
      <w:tr w:rsidR="00046B10" w:rsidRPr="00046B10" w14:paraId="180DC7C1" w14:textId="77777777" w:rsidTr="00046B10">
        <w:trPr>
          <w:jc w:val="center"/>
        </w:trPr>
        <w:tc>
          <w:tcPr>
            <w:tcW w:w="2119" w:type="dxa"/>
            <w:shd w:val="clear" w:color="auto" w:fill="auto"/>
          </w:tcPr>
          <w:p w14:paraId="569A0BE8" w14:textId="77777777" w:rsidR="00046B10" w:rsidRPr="00046B10" w:rsidRDefault="00046B10" w:rsidP="00C179A0">
            <w:pPr>
              <w:contextualSpacing/>
              <w:jc w:val="center"/>
              <w:rPr>
                <w:rFonts w:ascii="Palatino Linotype" w:hAnsi="Palatino Linotype"/>
                <w:b/>
                <w:bCs/>
                <w:iCs/>
                <w:color w:val="2F5496" w:themeColor="accent5" w:themeShade="BF"/>
                <w:sz w:val="18"/>
                <w:szCs w:val="18"/>
              </w:rPr>
            </w:pPr>
            <w:r w:rsidRPr="00046B10">
              <w:rPr>
                <w:rFonts w:ascii="Palatino Linotype" w:hAnsi="Palatino Linotype"/>
                <w:b/>
                <w:bCs/>
                <w:iCs/>
                <w:color w:val="2F5496" w:themeColor="accent5" w:themeShade="BF"/>
                <w:sz w:val="18"/>
                <w:szCs w:val="18"/>
              </w:rPr>
              <w:t xml:space="preserve">PI </w:t>
            </w:r>
            <w:r w:rsidRPr="00046B10">
              <w:rPr>
                <w:rFonts w:ascii="Palatino Linotype" w:hAnsi="Palatino Linotype"/>
                <w:b/>
                <w:bCs/>
                <w:iCs/>
                <w:color w:val="2F5496" w:themeColor="accent5" w:themeShade="BF"/>
                <w:sz w:val="18"/>
                <w:szCs w:val="18"/>
              </w:rPr>
              <w:sym w:font="Wingdings" w:char="F0E0"/>
            </w:r>
            <w:r w:rsidRPr="00046B10">
              <w:rPr>
                <w:rFonts w:ascii="Palatino Linotype" w:hAnsi="Palatino Linotype"/>
                <w:b/>
                <w:bCs/>
                <w:iCs/>
                <w:color w:val="2F5496" w:themeColor="accent5" w:themeShade="BF"/>
                <w:sz w:val="18"/>
                <w:szCs w:val="18"/>
              </w:rPr>
              <w:t xml:space="preserve"> IU</w:t>
            </w:r>
          </w:p>
        </w:tc>
        <w:tc>
          <w:tcPr>
            <w:tcW w:w="2155" w:type="dxa"/>
            <w:vAlign w:val="center"/>
          </w:tcPr>
          <w:p w14:paraId="6EC7A9DB" w14:textId="77777777" w:rsidR="00046B10" w:rsidRPr="00046B10" w:rsidRDefault="00046B10" w:rsidP="00C179A0">
            <w:pPr>
              <w:contextualSpacing/>
              <w:jc w:val="center"/>
              <w:rPr>
                <w:rFonts w:ascii="Palatino Linotype" w:hAnsi="Palatino Linotype"/>
                <w:b/>
                <w:bCs/>
                <w:color w:val="2F5496" w:themeColor="accent5" w:themeShade="BF"/>
                <w:sz w:val="18"/>
                <w:szCs w:val="18"/>
              </w:rPr>
            </w:pPr>
            <w:r w:rsidRPr="00046B10">
              <w:rPr>
                <w:rFonts w:ascii="Palatino Linotype" w:hAnsi="Palatino Linotype"/>
                <w:b/>
                <w:bCs/>
                <w:color w:val="2F5496" w:themeColor="accent5" w:themeShade="BF"/>
                <w:sz w:val="18"/>
                <w:szCs w:val="18"/>
              </w:rPr>
              <w:t>0.016</w:t>
            </w:r>
          </w:p>
        </w:tc>
        <w:tc>
          <w:tcPr>
            <w:tcW w:w="1701" w:type="dxa"/>
            <w:vAlign w:val="center"/>
          </w:tcPr>
          <w:p w14:paraId="7CCC29F2" w14:textId="77777777" w:rsidR="00046B10" w:rsidRPr="00046B10" w:rsidRDefault="00046B10" w:rsidP="00C179A0">
            <w:pPr>
              <w:contextualSpacing/>
              <w:jc w:val="center"/>
              <w:rPr>
                <w:rFonts w:ascii="Palatino Linotype" w:hAnsi="Palatino Linotype"/>
                <w:b/>
                <w:bCs/>
                <w:color w:val="2F5496" w:themeColor="accent5" w:themeShade="BF"/>
                <w:sz w:val="18"/>
                <w:szCs w:val="18"/>
              </w:rPr>
            </w:pPr>
            <w:r w:rsidRPr="00046B10">
              <w:rPr>
                <w:rFonts w:ascii="Palatino Linotype" w:hAnsi="Palatino Linotype"/>
                <w:b/>
                <w:bCs/>
                <w:color w:val="2F5496" w:themeColor="accent5" w:themeShade="BF"/>
                <w:sz w:val="18"/>
                <w:szCs w:val="18"/>
              </w:rPr>
              <w:t>2.417</w:t>
            </w:r>
          </w:p>
        </w:tc>
        <w:tc>
          <w:tcPr>
            <w:tcW w:w="2127" w:type="dxa"/>
            <w:vAlign w:val="center"/>
          </w:tcPr>
          <w:p w14:paraId="3F721EA0" w14:textId="77777777" w:rsidR="00046B10" w:rsidRPr="00046B10" w:rsidRDefault="00046B10" w:rsidP="00C179A0">
            <w:pPr>
              <w:contextualSpacing/>
              <w:jc w:val="center"/>
              <w:rPr>
                <w:rFonts w:ascii="Palatino Linotype" w:hAnsi="Palatino Linotype"/>
                <w:b/>
                <w:bCs/>
                <w:color w:val="2F5496" w:themeColor="accent5" w:themeShade="BF"/>
                <w:sz w:val="18"/>
                <w:szCs w:val="18"/>
              </w:rPr>
            </w:pPr>
            <w:r w:rsidRPr="00046B10">
              <w:rPr>
                <w:rFonts w:ascii="Palatino Linotype" w:hAnsi="Palatino Linotype"/>
                <w:b/>
                <w:bCs/>
                <w:color w:val="2F5496" w:themeColor="accent5" w:themeShade="BF"/>
                <w:sz w:val="18"/>
                <w:szCs w:val="18"/>
              </w:rPr>
              <w:t>Accepted</w:t>
            </w:r>
          </w:p>
        </w:tc>
      </w:tr>
      <w:tr w:rsidR="00046B10" w:rsidRPr="00046B10" w14:paraId="5D049975" w14:textId="77777777" w:rsidTr="00046B10">
        <w:trPr>
          <w:jc w:val="center"/>
        </w:trPr>
        <w:tc>
          <w:tcPr>
            <w:tcW w:w="2119" w:type="dxa"/>
          </w:tcPr>
          <w:p w14:paraId="63B4F29B" w14:textId="77777777" w:rsidR="00046B10" w:rsidRPr="00046B10" w:rsidRDefault="00046B10" w:rsidP="00C179A0">
            <w:pPr>
              <w:contextualSpacing/>
              <w:jc w:val="center"/>
              <w:rPr>
                <w:rFonts w:ascii="Palatino Linotype" w:hAnsi="Palatino Linotype"/>
                <w:b/>
                <w:bCs/>
                <w:sz w:val="18"/>
                <w:szCs w:val="18"/>
              </w:rPr>
            </w:pPr>
            <w:r w:rsidRPr="00046B10">
              <w:rPr>
                <w:rFonts w:ascii="Palatino Linotype" w:hAnsi="Palatino Linotype"/>
                <w:b/>
                <w:bCs/>
                <w:sz w:val="18"/>
                <w:szCs w:val="18"/>
              </w:rPr>
              <w:t xml:space="preserve">SC </w:t>
            </w:r>
            <w:r w:rsidRPr="00046B10">
              <w:rPr>
                <w:rFonts w:ascii="Palatino Linotype" w:hAnsi="Palatino Linotype"/>
                <w:b/>
                <w:bCs/>
                <w:sz w:val="18"/>
                <w:szCs w:val="18"/>
              </w:rPr>
              <w:sym w:font="Wingdings" w:char="F0E0"/>
            </w:r>
            <w:r w:rsidRPr="00046B10">
              <w:rPr>
                <w:rFonts w:ascii="Palatino Linotype" w:hAnsi="Palatino Linotype"/>
                <w:b/>
                <w:bCs/>
                <w:sz w:val="18"/>
                <w:szCs w:val="18"/>
              </w:rPr>
              <w:t xml:space="preserve"> IU</w:t>
            </w:r>
          </w:p>
        </w:tc>
        <w:tc>
          <w:tcPr>
            <w:tcW w:w="2155" w:type="dxa"/>
            <w:vAlign w:val="center"/>
          </w:tcPr>
          <w:p w14:paraId="2FCC06B1" w14:textId="77777777" w:rsidR="00046B10" w:rsidRPr="00046B10" w:rsidRDefault="00046B10" w:rsidP="00C179A0">
            <w:pPr>
              <w:contextualSpacing/>
              <w:jc w:val="center"/>
              <w:rPr>
                <w:rFonts w:ascii="Palatino Linotype" w:hAnsi="Palatino Linotype"/>
                <w:sz w:val="18"/>
                <w:szCs w:val="18"/>
              </w:rPr>
            </w:pPr>
            <w:r w:rsidRPr="00046B10">
              <w:rPr>
                <w:rFonts w:ascii="Palatino Linotype" w:hAnsi="Palatino Linotype"/>
                <w:sz w:val="18"/>
                <w:szCs w:val="18"/>
              </w:rPr>
              <w:t>0.393</w:t>
            </w:r>
          </w:p>
        </w:tc>
        <w:tc>
          <w:tcPr>
            <w:tcW w:w="1701" w:type="dxa"/>
            <w:vAlign w:val="center"/>
          </w:tcPr>
          <w:p w14:paraId="41297ABC" w14:textId="77777777" w:rsidR="00046B10" w:rsidRPr="00046B10" w:rsidRDefault="00046B10" w:rsidP="00C179A0">
            <w:pPr>
              <w:contextualSpacing/>
              <w:jc w:val="center"/>
              <w:rPr>
                <w:rFonts w:ascii="Palatino Linotype" w:hAnsi="Palatino Linotype"/>
                <w:sz w:val="18"/>
                <w:szCs w:val="18"/>
              </w:rPr>
            </w:pPr>
            <w:r w:rsidRPr="00046B10">
              <w:rPr>
                <w:rFonts w:ascii="Palatino Linotype" w:hAnsi="Palatino Linotype"/>
                <w:sz w:val="18"/>
                <w:szCs w:val="18"/>
              </w:rPr>
              <w:t>0.856</w:t>
            </w:r>
          </w:p>
        </w:tc>
        <w:tc>
          <w:tcPr>
            <w:tcW w:w="2127" w:type="dxa"/>
            <w:vAlign w:val="center"/>
          </w:tcPr>
          <w:p w14:paraId="6F564E3E" w14:textId="77777777" w:rsidR="00046B10" w:rsidRPr="00046B10" w:rsidRDefault="00046B10" w:rsidP="00C179A0">
            <w:pPr>
              <w:contextualSpacing/>
              <w:jc w:val="center"/>
              <w:rPr>
                <w:rFonts w:ascii="Palatino Linotype" w:hAnsi="Palatino Linotype"/>
                <w:sz w:val="18"/>
                <w:szCs w:val="18"/>
              </w:rPr>
            </w:pPr>
            <w:r w:rsidRPr="00046B10">
              <w:rPr>
                <w:rFonts w:ascii="Palatino Linotype" w:hAnsi="Palatino Linotype"/>
                <w:sz w:val="18"/>
                <w:szCs w:val="18"/>
              </w:rPr>
              <w:t>Rejected</w:t>
            </w:r>
          </w:p>
        </w:tc>
      </w:tr>
      <w:tr w:rsidR="00046B10" w:rsidRPr="00046B10" w14:paraId="779BAE03" w14:textId="77777777" w:rsidTr="00046B10">
        <w:trPr>
          <w:jc w:val="center"/>
        </w:trPr>
        <w:tc>
          <w:tcPr>
            <w:tcW w:w="2119" w:type="dxa"/>
            <w:tcBorders>
              <w:bottom w:val="single" w:sz="4" w:space="0" w:color="auto"/>
            </w:tcBorders>
          </w:tcPr>
          <w:p w14:paraId="147FFDF1" w14:textId="77777777" w:rsidR="00046B10" w:rsidRPr="00046B10" w:rsidRDefault="00046B10" w:rsidP="00C179A0">
            <w:pPr>
              <w:contextualSpacing/>
              <w:jc w:val="center"/>
              <w:rPr>
                <w:rFonts w:ascii="Palatino Linotype" w:hAnsi="Palatino Linotype"/>
                <w:b/>
                <w:bCs/>
                <w:sz w:val="18"/>
                <w:szCs w:val="18"/>
              </w:rPr>
            </w:pPr>
            <w:r w:rsidRPr="00046B10">
              <w:rPr>
                <w:rFonts w:ascii="Palatino Linotype" w:hAnsi="Palatino Linotype"/>
                <w:b/>
                <w:bCs/>
                <w:sz w:val="18"/>
                <w:szCs w:val="18"/>
              </w:rPr>
              <w:t xml:space="preserve">TL </w:t>
            </w:r>
            <w:r w:rsidRPr="00046B10">
              <w:rPr>
                <w:rFonts w:ascii="Palatino Linotype" w:hAnsi="Palatino Linotype"/>
                <w:b/>
                <w:bCs/>
                <w:sz w:val="18"/>
                <w:szCs w:val="18"/>
              </w:rPr>
              <w:sym w:font="Wingdings" w:char="F0E0"/>
            </w:r>
            <w:r w:rsidRPr="00046B10">
              <w:rPr>
                <w:rFonts w:ascii="Palatino Linotype" w:hAnsi="Palatino Linotype"/>
                <w:b/>
                <w:bCs/>
                <w:sz w:val="18"/>
                <w:szCs w:val="18"/>
              </w:rPr>
              <w:t xml:space="preserve"> IU</w:t>
            </w:r>
          </w:p>
        </w:tc>
        <w:tc>
          <w:tcPr>
            <w:tcW w:w="2155" w:type="dxa"/>
            <w:tcBorders>
              <w:bottom w:val="single" w:sz="4" w:space="0" w:color="auto"/>
            </w:tcBorders>
            <w:vAlign w:val="center"/>
          </w:tcPr>
          <w:p w14:paraId="0D3DB143" w14:textId="77777777" w:rsidR="00046B10" w:rsidRPr="00046B10" w:rsidRDefault="00046B10" w:rsidP="00C179A0">
            <w:pPr>
              <w:contextualSpacing/>
              <w:jc w:val="center"/>
              <w:rPr>
                <w:rFonts w:ascii="Palatino Linotype" w:hAnsi="Palatino Linotype"/>
                <w:sz w:val="18"/>
                <w:szCs w:val="18"/>
              </w:rPr>
            </w:pPr>
            <w:r w:rsidRPr="00046B10">
              <w:rPr>
                <w:rFonts w:ascii="Palatino Linotype" w:hAnsi="Palatino Linotype"/>
                <w:sz w:val="18"/>
                <w:szCs w:val="18"/>
              </w:rPr>
              <w:t>0.110</w:t>
            </w:r>
          </w:p>
        </w:tc>
        <w:tc>
          <w:tcPr>
            <w:tcW w:w="1701" w:type="dxa"/>
            <w:tcBorders>
              <w:bottom w:val="single" w:sz="4" w:space="0" w:color="auto"/>
            </w:tcBorders>
            <w:vAlign w:val="center"/>
          </w:tcPr>
          <w:p w14:paraId="12C61F59" w14:textId="77777777" w:rsidR="00046B10" w:rsidRPr="00046B10" w:rsidRDefault="00046B10" w:rsidP="00C179A0">
            <w:pPr>
              <w:contextualSpacing/>
              <w:jc w:val="center"/>
              <w:rPr>
                <w:rFonts w:ascii="Palatino Linotype" w:hAnsi="Palatino Linotype"/>
                <w:sz w:val="18"/>
                <w:szCs w:val="18"/>
              </w:rPr>
            </w:pPr>
            <w:r w:rsidRPr="00046B10">
              <w:rPr>
                <w:rFonts w:ascii="Palatino Linotype" w:hAnsi="Palatino Linotype"/>
                <w:sz w:val="18"/>
                <w:szCs w:val="18"/>
              </w:rPr>
              <w:t>1.602</w:t>
            </w:r>
          </w:p>
        </w:tc>
        <w:tc>
          <w:tcPr>
            <w:tcW w:w="2127" w:type="dxa"/>
            <w:tcBorders>
              <w:bottom w:val="single" w:sz="4" w:space="0" w:color="auto"/>
            </w:tcBorders>
            <w:vAlign w:val="center"/>
          </w:tcPr>
          <w:p w14:paraId="55AD6229" w14:textId="77777777" w:rsidR="00046B10" w:rsidRPr="00046B10" w:rsidRDefault="00046B10" w:rsidP="00C179A0">
            <w:pPr>
              <w:contextualSpacing/>
              <w:jc w:val="center"/>
              <w:rPr>
                <w:rFonts w:ascii="Palatino Linotype" w:hAnsi="Palatino Linotype"/>
                <w:sz w:val="18"/>
                <w:szCs w:val="18"/>
              </w:rPr>
            </w:pPr>
            <w:r w:rsidRPr="00046B10">
              <w:rPr>
                <w:rFonts w:ascii="Palatino Linotype" w:hAnsi="Palatino Linotype"/>
                <w:sz w:val="18"/>
                <w:szCs w:val="18"/>
              </w:rPr>
              <w:t>Rejected</w:t>
            </w:r>
          </w:p>
        </w:tc>
      </w:tr>
    </w:tbl>
    <w:p w14:paraId="35D464BD" w14:textId="71B833FE" w:rsidR="008919B3" w:rsidRPr="00575089" w:rsidRDefault="008919B3" w:rsidP="00575089">
      <w:pPr>
        <w:pStyle w:val="Subsubjudul"/>
        <w:spacing w:line="240" w:lineRule="auto"/>
        <w:ind w:left="567" w:hanging="567"/>
        <w:rPr>
          <w:i w:val="0"/>
          <w:iCs/>
          <w:color w:val="000000" w:themeColor="text1"/>
          <w:lang w:val="en-ID"/>
        </w:rPr>
      </w:pPr>
      <w:r>
        <w:rPr>
          <w:i w:val="0"/>
          <w:iCs/>
          <w:lang w:val="en-ID"/>
        </w:rPr>
        <w:t>Discussion</w:t>
      </w:r>
    </w:p>
    <w:p w14:paraId="5FE04E86" w14:textId="1D375430" w:rsidR="00046B10" w:rsidRPr="00227A76" w:rsidRDefault="00046B10" w:rsidP="00227A76">
      <w:pPr>
        <w:pStyle w:val="SubJudul"/>
        <w:numPr>
          <w:ilvl w:val="0"/>
          <w:numId w:val="0"/>
        </w:numPr>
        <w:rPr>
          <w:b w:val="0"/>
          <w:bCs/>
          <w:szCs w:val="20"/>
        </w:rPr>
      </w:pPr>
      <w:r w:rsidRPr="00227A76">
        <w:rPr>
          <w:b w:val="0"/>
          <w:bCs/>
          <w:szCs w:val="20"/>
        </w:rPr>
        <w:t xml:space="preserve">The results of this study </w:t>
      </w:r>
      <w:r w:rsidR="00C46C98">
        <w:rPr>
          <w:b w:val="0"/>
          <w:bCs/>
          <w:szCs w:val="20"/>
        </w:rPr>
        <w:t>announce</w:t>
      </w:r>
      <w:r w:rsidRPr="00227A76">
        <w:rPr>
          <w:b w:val="0"/>
          <w:bCs/>
          <w:szCs w:val="20"/>
        </w:rPr>
        <w:t xml:space="preserve"> that Familiarity is proven to influence Intention to Use on users of FinTech lending services in Indonesia. These results are </w:t>
      </w:r>
      <w:r w:rsidR="00837B70">
        <w:rPr>
          <w:b w:val="0"/>
          <w:bCs/>
          <w:szCs w:val="20"/>
        </w:rPr>
        <w:t>consistent</w:t>
      </w:r>
      <w:r w:rsidRPr="00227A76">
        <w:rPr>
          <w:b w:val="0"/>
          <w:bCs/>
          <w:szCs w:val="20"/>
        </w:rPr>
        <w:t xml:space="preserve"> with research </w:t>
      </w:r>
      <w:r w:rsidR="00837B70">
        <w:rPr>
          <w:b w:val="0"/>
          <w:bCs/>
          <w:szCs w:val="20"/>
        </w:rPr>
        <w:t>managed</w:t>
      </w:r>
      <w:r w:rsidRPr="00227A76">
        <w:rPr>
          <w:b w:val="0"/>
          <w:bCs/>
          <w:szCs w:val="20"/>
        </w:rPr>
        <w:t xml:space="preserve"> by </w:t>
      </w:r>
      <w:r w:rsidRPr="00227A76">
        <w:rPr>
          <w:b w:val="0"/>
          <w:bCs/>
          <w:szCs w:val="20"/>
        </w:rPr>
        <w:fldChar w:fldCharType="begin" w:fldLock="1"/>
      </w:r>
      <w:r w:rsidR="00310DED">
        <w:rPr>
          <w:b w:val="0"/>
          <w:bCs/>
          <w:szCs w:val="20"/>
        </w:rPr>
        <w:instrText>ADDIN CSL_CITATION {"citationItems":[{"id":"ITEM-1","itemData":{"DOI":"10.1016/j.elerap.2016.07.001","ISSN":"15674223","abstract":"Although there is a large body of research on trust in e-commerce, a crucial gap is that extant studies have not examined the role of perceived enjoyment on trust in the presence of risk perception in Arab countries. In this paper, an online trust model is presented that exhibits the impact of four external factors (personal innovativeness, propensity to trust, familiarity, and presence of third-party seals) on the intention to use an online payment via the mediation of three endogenous variables (enjoyment, risk, and customer trust). The data was collected from Kuwait, an Arab country, with a mixed of data collection survey methods of 150 online questionnaires and 200 paper-based questionnaires. The data was then analyzed using partial least squares (PLS) regression. The findings revealed that customer trust and enjoyment are two important drivers of the online payment adoption, which neutralized risk perceptions. This study discusses these results as well as research and a managerial perspectives that could assist in enhancing online payment acceptance in Kuwait.","author":[{"dropping-particle":"","family":"Rouibah","given":"Kamel","non-dropping-particle":"","parse-names":false,"suffix":""},{"dropping-particle":"","family":"Lowry","given":"Paul Benjamin","non-dropping-particle":"","parse-names":false,"suffix":""},{"dropping-particle":"","family":"Hwang","given":"Yujong","non-dropping-particle":"","parse-names":false,"suffix":""}],"container-title":"Electronic Commerce Research and Applications","id":"ITEM-1","issued":{"date-parts":[["2016"]]},"page":"33-43","publisher":"Elsevier B.V.","title":"The effects of perceived enjoyment and perceived risks on trust formation and intentions to use online payment systems: New perspectives from an Arab country","type":"article-journal","volume":"19"},"uris":["http://www.mendeley.com/documents/?uuid=08e46099-ad52-4301-8f7b-72b1f4c540d7"]}],"mendeley":{"formattedCitation":"[26]","plainTextFormattedCitation":"[26]","previouslyFormattedCitation":"[26]"},"properties":{"noteIndex":0},"schema":"https://github.com/citation-style-language/schema/raw/master/csl-citation.json"}</w:instrText>
      </w:r>
      <w:r w:rsidRPr="00227A76">
        <w:rPr>
          <w:b w:val="0"/>
          <w:bCs/>
          <w:szCs w:val="20"/>
        </w:rPr>
        <w:fldChar w:fldCharType="separate"/>
      </w:r>
      <w:r w:rsidR="00227A76" w:rsidRPr="00227A76">
        <w:rPr>
          <w:b w:val="0"/>
          <w:bCs/>
          <w:noProof/>
          <w:szCs w:val="20"/>
        </w:rPr>
        <w:t>[26]</w:t>
      </w:r>
      <w:r w:rsidRPr="00227A76">
        <w:rPr>
          <w:b w:val="0"/>
          <w:bCs/>
          <w:szCs w:val="20"/>
        </w:rPr>
        <w:fldChar w:fldCharType="end"/>
      </w:r>
      <w:r w:rsidRPr="00227A76">
        <w:rPr>
          <w:b w:val="0"/>
          <w:bCs/>
          <w:szCs w:val="20"/>
        </w:rPr>
        <w:t xml:space="preserve"> on Kuwait's online payment system. This study found that FinTech users based on lending in Indonesia will use FinTech services if they are familiar with the procedures and procedures for borrowing or if users are accustomed to borrowing on the FinTech platform. Also, users realize that when they are familiar with the FinTech platform interface, they tend to use the loan-based FinTech service. The role of loan service provider vendors with a clear and well-known reputation also affects users' willingness to use the Fintech service. FinTech lending service providers can begin to intensively introduce their services to digital media to </w:t>
      </w:r>
      <w:r w:rsidR="00785F9C">
        <w:rPr>
          <w:b w:val="0"/>
          <w:bCs/>
          <w:szCs w:val="20"/>
        </w:rPr>
        <w:t>boost</w:t>
      </w:r>
      <w:r w:rsidRPr="00227A76">
        <w:rPr>
          <w:b w:val="0"/>
          <w:bCs/>
          <w:szCs w:val="20"/>
        </w:rPr>
        <w:t xml:space="preserve"> the </w:t>
      </w:r>
      <w:r w:rsidR="00F736D8">
        <w:rPr>
          <w:b w:val="0"/>
          <w:bCs/>
          <w:szCs w:val="20"/>
        </w:rPr>
        <w:t>adoption</w:t>
      </w:r>
      <w:r w:rsidRPr="00227A76">
        <w:rPr>
          <w:b w:val="0"/>
          <w:bCs/>
          <w:szCs w:val="20"/>
        </w:rPr>
        <w:t xml:space="preserve"> of their services among Indonesians. This study proves that Personal Innovativeness is proven to </w:t>
      </w:r>
      <w:r w:rsidR="00837B70">
        <w:rPr>
          <w:b w:val="0"/>
          <w:bCs/>
          <w:szCs w:val="20"/>
        </w:rPr>
        <w:t>effect</w:t>
      </w:r>
      <w:r w:rsidRPr="00227A76">
        <w:rPr>
          <w:b w:val="0"/>
          <w:bCs/>
          <w:szCs w:val="20"/>
        </w:rPr>
        <w:t xml:space="preserve"> Intention to Use on users of FinTech Lending services in Indonesia. These results are </w:t>
      </w:r>
      <w:r w:rsidR="00785F9C">
        <w:rPr>
          <w:b w:val="0"/>
          <w:bCs/>
          <w:szCs w:val="20"/>
        </w:rPr>
        <w:t>persistent</w:t>
      </w:r>
      <w:r w:rsidRPr="00227A76">
        <w:rPr>
          <w:b w:val="0"/>
          <w:bCs/>
          <w:szCs w:val="20"/>
        </w:rPr>
        <w:t xml:space="preserve"> with research conducted by </w:t>
      </w:r>
      <w:r w:rsidRPr="00227A76">
        <w:rPr>
          <w:b w:val="0"/>
          <w:bCs/>
          <w:szCs w:val="20"/>
        </w:rPr>
        <w:fldChar w:fldCharType="begin" w:fldLock="1"/>
      </w:r>
      <w:r w:rsidR="00310DED">
        <w:rPr>
          <w:b w:val="0"/>
          <w:bCs/>
          <w:szCs w:val="20"/>
        </w:rPr>
        <w:instrText>ADDIN CSL_CITATION {"citationItems":[{"id":"ITEM-1","itemData":{"DOI":"10.1016/j.elerap.2016.07.001","ISSN":"15674223","abstract":"Although there is a large body of research on trust in e-commerce, a crucial gap is that extant studies have not examined the role of perceived enjoyment on trust in the presence of risk perception in Arab countries. In this paper, an online trust model is presented that exhibits the impact of four external factors (personal innovativeness, propensity to trust, familiarity, and presence of third-party seals) on the intention to use an online payment via the mediation of three endogenous variables (enjoyment, risk, and customer trust). The data was collected from Kuwait, an Arab country, with a mixed of data collection survey methods of 150 online questionnaires and 200 paper-based questionnaires. The data was then analyzed using partial least squares (PLS) regression. The findings revealed that customer trust and enjoyment are two important drivers of the online payment adoption, which neutralized risk perceptions. This study discusses these results as well as research and a managerial perspectives that could assist in enhancing online payment acceptance in Kuwait.","author":[{"dropping-particle":"","family":"Rouibah","given":"Kamel","non-dropping-particle":"","parse-names":false,"suffix":""},{"dropping-particle":"","family":"Lowry","given":"Paul Benjamin","non-dropping-particle":"","parse-names":false,"suffix":""},{"dropping-particle":"","family":"Hwang","given":"Yujong","non-dropping-particle":"","parse-names":false,"suffix":""}],"container-title":"Electronic Commerce Research and Applications","id":"ITEM-1","issued":{"date-parts":[["2016"]]},"page":"33-43","publisher":"Elsevier B.V.","title":"The effects of perceived enjoyment and perceived risks on trust formation and intentions to use online payment systems: New perspectives from an Arab country","type":"article-journal","volume":"19"},"uris":["http://www.mendeley.com/documents/?uuid=08e46099-ad52-4301-8f7b-72b1f4c540d7"]}],"mendeley":{"formattedCitation":"[26]","plainTextFormattedCitation":"[26]","previouslyFormattedCitation":"[26]"},"properties":{"noteIndex":0},"schema":"https://github.com/citation-style-language/schema/raw/master/csl-citation.json"}</w:instrText>
      </w:r>
      <w:r w:rsidRPr="00227A76">
        <w:rPr>
          <w:b w:val="0"/>
          <w:bCs/>
          <w:szCs w:val="20"/>
        </w:rPr>
        <w:fldChar w:fldCharType="separate"/>
      </w:r>
      <w:r w:rsidR="00227A76" w:rsidRPr="00227A76">
        <w:rPr>
          <w:b w:val="0"/>
          <w:bCs/>
          <w:noProof/>
          <w:szCs w:val="20"/>
        </w:rPr>
        <w:t>[26]</w:t>
      </w:r>
      <w:r w:rsidRPr="00227A76">
        <w:rPr>
          <w:b w:val="0"/>
          <w:bCs/>
          <w:szCs w:val="20"/>
        </w:rPr>
        <w:fldChar w:fldCharType="end"/>
      </w:r>
      <w:r w:rsidRPr="00227A76">
        <w:rPr>
          <w:b w:val="0"/>
          <w:bCs/>
          <w:szCs w:val="20"/>
        </w:rPr>
        <w:t xml:space="preserve">. Users want to </w:t>
      </w:r>
      <w:r w:rsidR="00F736D8">
        <w:rPr>
          <w:b w:val="0"/>
          <w:bCs/>
          <w:szCs w:val="20"/>
        </w:rPr>
        <w:t>adopt</w:t>
      </w:r>
      <w:r w:rsidRPr="00227A76">
        <w:rPr>
          <w:b w:val="0"/>
          <w:bCs/>
          <w:szCs w:val="20"/>
        </w:rPr>
        <w:t xml:space="preserve"> FinTech Lending services because of their desire and interest in being the first to use the service, besides that users also want to know about the features, benefits, and ways of using the FinTech platform. Users who feel pleasure when trying to use the technology offered by FinTech tend to want to use FinTech Lending services. The younger generation is a generation that tends to be curious, so Fintech Lending service providers need to provide information about their services and ensure their users get an experience according to their expectations.</w:t>
      </w:r>
    </w:p>
    <w:p w14:paraId="590B64FF" w14:textId="57987E15" w:rsidR="00046B10" w:rsidRPr="00227A76" w:rsidRDefault="00046B10" w:rsidP="00227A76">
      <w:pPr>
        <w:pStyle w:val="BodyText"/>
        <w:spacing w:after="200"/>
        <w:ind w:firstLine="567"/>
        <w:jc w:val="both"/>
        <w:rPr>
          <w:rFonts w:ascii="Palatino Linotype" w:hAnsi="Palatino Linotype"/>
          <w:bCs/>
          <w:sz w:val="20"/>
          <w:szCs w:val="20"/>
          <w:lang w:val="fr-FR"/>
        </w:rPr>
      </w:pPr>
      <w:r w:rsidRPr="00227A76">
        <w:rPr>
          <w:rFonts w:ascii="Palatino Linotype" w:hAnsi="Palatino Linotype"/>
          <w:bCs/>
          <w:sz w:val="20"/>
          <w:szCs w:val="20"/>
          <w:lang w:val="fr-FR"/>
        </w:rPr>
        <w:t xml:space="preserve">This </w:t>
      </w:r>
      <w:proofErr w:type="spellStart"/>
      <w:r w:rsidRPr="00227A76">
        <w:rPr>
          <w:rFonts w:ascii="Palatino Linotype" w:hAnsi="Palatino Linotype"/>
          <w:bCs/>
          <w:sz w:val="20"/>
          <w:szCs w:val="20"/>
          <w:lang w:val="fr-FR"/>
        </w:rPr>
        <w:t>study</w:t>
      </w:r>
      <w:proofErr w:type="spellEnd"/>
      <w:r w:rsidRPr="00227A76">
        <w:rPr>
          <w:rFonts w:ascii="Palatino Linotype" w:hAnsi="Palatino Linotype"/>
          <w:bCs/>
          <w:sz w:val="20"/>
          <w:szCs w:val="20"/>
          <w:lang w:val="fr-FR"/>
        </w:rPr>
        <w:t xml:space="preserve"> </w:t>
      </w:r>
      <w:proofErr w:type="spellStart"/>
      <w:r w:rsidRPr="00227A76">
        <w:rPr>
          <w:rFonts w:ascii="Palatino Linotype" w:hAnsi="Palatino Linotype"/>
          <w:bCs/>
          <w:sz w:val="20"/>
          <w:szCs w:val="20"/>
          <w:lang w:val="fr-FR"/>
        </w:rPr>
        <w:t>proves</w:t>
      </w:r>
      <w:proofErr w:type="spellEnd"/>
      <w:r w:rsidRPr="00227A76">
        <w:rPr>
          <w:rFonts w:ascii="Palatino Linotype" w:hAnsi="Palatino Linotype"/>
          <w:bCs/>
          <w:sz w:val="20"/>
          <w:szCs w:val="20"/>
          <w:lang w:val="fr-FR"/>
        </w:rPr>
        <w:t xml:space="preserve"> </w:t>
      </w:r>
      <w:proofErr w:type="spellStart"/>
      <w:r w:rsidRPr="00227A76">
        <w:rPr>
          <w:rFonts w:ascii="Palatino Linotype" w:hAnsi="Palatino Linotype"/>
          <w:bCs/>
          <w:sz w:val="20"/>
          <w:szCs w:val="20"/>
          <w:lang w:val="fr-FR"/>
        </w:rPr>
        <w:t>that</w:t>
      </w:r>
      <w:proofErr w:type="spellEnd"/>
      <w:r w:rsidRPr="00227A76">
        <w:rPr>
          <w:rFonts w:ascii="Palatino Linotype" w:hAnsi="Palatino Linotype"/>
          <w:bCs/>
          <w:sz w:val="20"/>
          <w:szCs w:val="20"/>
          <w:lang w:val="fr-FR"/>
        </w:rPr>
        <w:t xml:space="preserve"> the </w:t>
      </w:r>
      <w:proofErr w:type="spellStart"/>
      <w:r w:rsidRPr="00227A76">
        <w:rPr>
          <w:rFonts w:ascii="Palatino Linotype" w:hAnsi="Palatino Linotype"/>
          <w:bCs/>
          <w:sz w:val="20"/>
          <w:szCs w:val="20"/>
          <w:lang w:val="fr-FR"/>
        </w:rPr>
        <w:t>Interest</w:t>
      </w:r>
      <w:proofErr w:type="spellEnd"/>
      <w:r w:rsidRPr="00227A76">
        <w:rPr>
          <w:rFonts w:ascii="Palatino Linotype" w:hAnsi="Palatino Linotype"/>
          <w:bCs/>
          <w:sz w:val="20"/>
          <w:szCs w:val="20"/>
          <w:lang w:val="fr-FR"/>
        </w:rPr>
        <w:t xml:space="preserve"> Rate, Security, and Trust in Online </w:t>
      </w:r>
      <w:proofErr w:type="spellStart"/>
      <w:r w:rsidRPr="00227A76">
        <w:rPr>
          <w:rFonts w:ascii="Palatino Linotype" w:hAnsi="Palatino Linotype"/>
          <w:bCs/>
          <w:sz w:val="20"/>
          <w:szCs w:val="20"/>
          <w:lang w:val="fr-FR"/>
        </w:rPr>
        <w:t>Lending</w:t>
      </w:r>
      <w:proofErr w:type="spellEnd"/>
      <w:r w:rsidRPr="00227A76">
        <w:rPr>
          <w:rFonts w:ascii="Palatino Linotype" w:hAnsi="Palatino Linotype"/>
          <w:bCs/>
          <w:sz w:val="20"/>
          <w:szCs w:val="20"/>
          <w:lang w:val="fr-FR"/>
        </w:rPr>
        <w:t xml:space="preserve"> Platform do not </w:t>
      </w:r>
      <w:r w:rsidR="00837B70">
        <w:rPr>
          <w:rFonts w:ascii="Palatino Linotype" w:hAnsi="Palatino Linotype"/>
          <w:bCs/>
          <w:sz w:val="20"/>
          <w:szCs w:val="20"/>
          <w:lang w:val="fr-FR"/>
        </w:rPr>
        <w:t>influence</w:t>
      </w:r>
      <w:r w:rsidRPr="00227A76">
        <w:rPr>
          <w:rFonts w:ascii="Palatino Linotype" w:hAnsi="Palatino Linotype"/>
          <w:bCs/>
          <w:sz w:val="20"/>
          <w:szCs w:val="20"/>
          <w:lang w:val="fr-FR"/>
        </w:rPr>
        <w:t xml:space="preserve"> the Intention to Use in </w:t>
      </w:r>
      <w:proofErr w:type="spellStart"/>
      <w:r w:rsidRPr="00227A76">
        <w:rPr>
          <w:rFonts w:ascii="Palatino Linotype" w:hAnsi="Palatino Linotype"/>
          <w:bCs/>
          <w:sz w:val="20"/>
          <w:szCs w:val="20"/>
          <w:lang w:val="fr-FR"/>
        </w:rPr>
        <w:t>lending-based</w:t>
      </w:r>
      <w:proofErr w:type="spellEnd"/>
      <w:r w:rsidRPr="00227A76">
        <w:rPr>
          <w:rFonts w:ascii="Palatino Linotype" w:hAnsi="Palatino Linotype"/>
          <w:bCs/>
          <w:sz w:val="20"/>
          <w:szCs w:val="20"/>
          <w:lang w:val="fr-FR"/>
        </w:rPr>
        <w:t xml:space="preserve"> FinTech services in </w:t>
      </w:r>
      <w:proofErr w:type="spellStart"/>
      <w:r w:rsidRPr="00227A76">
        <w:rPr>
          <w:rFonts w:ascii="Palatino Linotype" w:hAnsi="Palatino Linotype"/>
          <w:bCs/>
          <w:sz w:val="20"/>
          <w:szCs w:val="20"/>
          <w:lang w:val="fr-FR"/>
        </w:rPr>
        <w:t>Indonesia</w:t>
      </w:r>
      <w:proofErr w:type="spellEnd"/>
      <w:r w:rsidRPr="00227A76">
        <w:rPr>
          <w:rFonts w:ascii="Palatino Linotype" w:hAnsi="Palatino Linotype"/>
          <w:bCs/>
          <w:sz w:val="20"/>
          <w:szCs w:val="20"/>
          <w:lang w:val="fr-FR"/>
        </w:rPr>
        <w:t xml:space="preserve">. This </w:t>
      </w:r>
      <w:proofErr w:type="spellStart"/>
      <w:r w:rsidRPr="00227A76">
        <w:rPr>
          <w:rFonts w:ascii="Palatino Linotype" w:hAnsi="Palatino Linotype"/>
          <w:bCs/>
          <w:sz w:val="20"/>
          <w:szCs w:val="20"/>
          <w:lang w:val="fr-FR"/>
        </w:rPr>
        <w:t>result</w:t>
      </w:r>
      <w:proofErr w:type="spellEnd"/>
      <w:r w:rsidRPr="00227A76">
        <w:rPr>
          <w:rFonts w:ascii="Palatino Linotype" w:hAnsi="Palatino Linotype"/>
          <w:bCs/>
          <w:sz w:val="20"/>
          <w:szCs w:val="20"/>
          <w:lang w:val="fr-FR"/>
        </w:rPr>
        <w:t xml:space="preserve"> </w:t>
      </w:r>
      <w:proofErr w:type="spellStart"/>
      <w:r w:rsidRPr="00227A76">
        <w:rPr>
          <w:rFonts w:ascii="Palatino Linotype" w:hAnsi="Palatino Linotype"/>
          <w:bCs/>
          <w:sz w:val="20"/>
          <w:szCs w:val="20"/>
          <w:lang w:val="fr-FR"/>
        </w:rPr>
        <w:t>is</w:t>
      </w:r>
      <w:proofErr w:type="spellEnd"/>
      <w:r w:rsidRPr="00227A76">
        <w:rPr>
          <w:rFonts w:ascii="Palatino Linotype" w:hAnsi="Palatino Linotype"/>
          <w:bCs/>
          <w:sz w:val="20"/>
          <w:szCs w:val="20"/>
          <w:lang w:val="fr-FR"/>
        </w:rPr>
        <w:t xml:space="preserve"> not </w:t>
      </w:r>
      <w:proofErr w:type="spellStart"/>
      <w:r w:rsidR="00F736D8">
        <w:rPr>
          <w:rFonts w:ascii="Palatino Linotype" w:hAnsi="Palatino Linotype"/>
          <w:bCs/>
          <w:sz w:val="20"/>
          <w:szCs w:val="20"/>
          <w:lang w:val="fr-FR"/>
        </w:rPr>
        <w:t>equivalent</w:t>
      </w:r>
      <w:proofErr w:type="spellEnd"/>
      <w:r w:rsidRPr="00227A76">
        <w:rPr>
          <w:rFonts w:ascii="Palatino Linotype" w:hAnsi="Palatino Linotype"/>
          <w:bCs/>
          <w:sz w:val="20"/>
          <w:szCs w:val="20"/>
          <w:lang w:val="fr-FR"/>
        </w:rPr>
        <w:t xml:space="preserve"> </w:t>
      </w:r>
      <w:proofErr w:type="spellStart"/>
      <w:r w:rsidRPr="00227A76">
        <w:rPr>
          <w:rFonts w:ascii="Palatino Linotype" w:hAnsi="Palatino Linotype"/>
          <w:bCs/>
          <w:sz w:val="20"/>
          <w:szCs w:val="20"/>
          <w:lang w:val="fr-FR"/>
        </w:rPr>
        <w:t>with</w:t>
      </w:r>
      <w:proofErr w:type="spellEnd"/>
      <w:r w:rsidRPr="00227A76">
        <w:rPr>
          <w:rFonts w:ascii="Palatino Linotype" w:hAnsi="Palatino Linotype"/>
          <w:bCs/>
          <w:sz w:val="20"/>
          <w:szCs w:val="20"/>
          <w:lang w:val="fr-FR"/>
        </w:rPr>
        <w:t xml:space="preserve"> </w:t>
      </w:r>
      <w:proofErr w:type="spellStart"/>
      <w:r w:rsidRPr="00227A76">
        <w:rPr>
          <w:rFonts w:ascii="Palatino Linotype" w:hAnsi="Palatino Linotype"/>
          <w:bCs/>
          <w:sz w:val="20"/>
          <w:szCs w:val="20"/>
          <w:lang w:val="fr-FR"/>
        </w:rPr>
        <w:t>research</w:t>
      </w:r>
      <w:proofErr w:type="spellEnd"/>
      <w:r w:rsidRPr="00227A76">
        <w:rPr>
          <w:rFonts w:ascii="Palatino Linotype" w:hAnsi="Palatino Linotype"/>
          <w:bCs/>
          <w:sz w:val="20"/>
          <w:szCs w:val="20"/>
          <w:lang w:val="fr-FR"/>
        </w:rPr>
        <w:t xml:space="preserve"> </w:t>
      </w:r>
      <w:proofErr w:type="spellStart"/>
      <w:r w:rsidR="00837B70">
        <w:rPr>
          <w:rFonts w:ascii="Palatino Linotype" w:hAnsi="Palatino Linotype"/>
          <w:bCs/>
          <w:sz w:val="20"/>
          <w:szCs w:val="20"/>
          <w:lang w:val="fr-FR"/>
        </w:rPr>
        <w:t>managed</w:t>
      </w:r>
      <w:proofErr w:type="spellEnd"/>
      <w:r w:rsidRPr="00227A76">
        <w:rPr>
          <w:rFonts w:ascii="Palatino Linotype" w:hAnsi="Palatino Linotype"/>
          <w:bCs/>
          <w:sz w:val="20"/>
          <w:szCs w:val="20"/>
          <w:lang w:val="fr-FR"/>
        </w:rPr>
        <w:t xml:space="preserve"> by </w:t>
      </w:r>
      <w:r w:rsidRPr="00227A76">
        <w:rPr>
          <w:rFonts w:ascii="Palatino Linotype" w:hAnsi="Palatino Linotype"/>
          <w:bCs/>
          <w:sz w:val="20"/>
          <w:szCs w:val="20"/>
          <w:lang w:val="fr-FR"/>
        </w:rPr>
        <w:fldChar w:fldCharType="begin" w:fldLock="1"/>
      </w:r>
      <w:r w:rsidR="00310DED">
        <w:rPr>
          <w:rFonts w:ascii="Palatino Linotype" w:hAnsi="Palatino Linotype"/>
          <w:bCs/>
          <w:sz w:val="20"/>
          <w:szCs w:val="20"/>
          <w:lang w:val="fr-FR"/>
        </w:rPr>
        <w:instrText>ADDIN CSL_CITATION {"citationItems":[{"id":"ITEM-1","itemData":{"DOI":"10.1108/QRFM-09-2018-0103","ISSN":"17554187","abstract":"Purpose: This study aims to examine the adoption of peer-to-peer (P2P) lending platforms to determine the factors that encourage SMEs to use P2P lending platforms in obtaining loans. Design/methodology/approach: A sample of ten SMEs from a variety of backgrounds was taken in Bandung, Indonesia. Bandung has been awarded the title of “creative city” by UNESCO, as the city allows for the development of the creative economy. This research used a semi-structured interview. Coding method was then used for content analysis to establish which factors emerging from the interview were leading respondents to obtain a loan through the P2P lending platform. Findings: The findings imply that loan processes, interest rates, loan costs, loan amounts and loan flexibility affect SMEs in obtaining a loan through P2P lending. Moreover, alternative payment schemes in the form of Sharia-based lending and profit-sharing schemes were found. These findings constituted the original findings of this study. Research limitations/implications: The study offers findings on factors affecting SMEs in using the P2P lending platform as a form of alternative financing. Moreover, the theoretical framework provided can be used as literature in future research. As this study was conducted in Bandung, Indonesia, the findings may not be generalisable to other regions. Originality/value: This study is one of the few studies that discusses P2P lending in Indonesia as the concept has been in practice only since 2015.","author":[{"dropping-particle":"","family":"Rosavina","given":"Monica","non-dropping-particle":"","parse-names":false,"suffix":""},{"dropping-particle":"","family":"Rahadi","given":"Raden Aswin","non-dropping-particle":"","parse-names":false,"suffix":""},{"dropping-particle":"","family":"Kitri","given":"Mandra Lazuardi","non-dropping-particle":"","parse-names":false,"suffix":""},{"dropping-particle":"","family":"Nuraeni","given":"Shimaditya","non-dropping-particle":"","parse-names":false,"suffix":""},{"dropping-particle":"","family":"Mayangsari","given":"Lidia","non-dropping-particle":"","parse-names":false,"suffix":""}],"container-title":"Qualitative Research in Financial Markets","id":"ITEM-1","issue":"2","issued":{"date-parts":[["2019"]]},"page":"260-279","title":"P2P lending adoption by SMEs in Indonesia","type":"article-journal","volume":"11"},"uris":["http://www.mendeley.com/documents/?uuid=4cc46e98-9afe-4c79-b8da-69d9993003bd"]}],"mendeley":{"formattedCitation":"[27]","plainTextFormattedCitation":"[27]","previouslyFormattedCitation":"[27]"},"properties":{"noteIndex":0},"schema":"https://github.com/citation-style-language/schema/raw/master/csl-citation.json"}</w:instrText>
      </w:r>
      <w:r w:rsidRPr="00227A76">
        <w:rPr>
          <w:rFonts w:ascii="Palatino Linotype" w:hAnsi="Palatino Linotype"/>
          <w:bCs/>
          <w:sz w:val="20"/>
          <w:szCs w:val="20"/>
          <w:lang w:val="fr-FR"/>
        </w:rPr>
        <w:fldChar w:fldCharType="separate"/>
      </w:r>
      <w:r w:rsidR="00227A76" w:rsidRPr="00227A76">
        <w:rPr>
          <w:rFonts w:ascii="Palatino Linotype" w:hAnsi="Palatino Linotype"/>
          <w:bCs/>
          <w:noProof/>
          <w:sz w:val="20"/>
          <w:szCs w:val="20"/>
          <w:lang w:val="fr-FR"/>
        </w:rPr>
        <w:t>[27]</w:t>
      </w:r>
      <w:r w:rsidRPr="00227A76">
        <w:rPr>
          <w:rFonts w:ascii="Palatino Linotype" w:hAnsi="Palatino Linotype"/>
          <w:bCs/>
          <w:sz w:val="20"/>
          <w:szCs w:val="20"/>
          <w:lang w:val="fr-FR"/>
        </w:rPr>
        <w:fldChar w:fldCharType="end"/>
      </w:r>
      <w:r w:rsidRPr="00227A76">
        <w:rPr>
          <w:rFonts w:ascii="Palatino Linotype" w:hAnsi="Palatino Linotype"/>
          <w:bCs/>
          <w:sz w:val="20"/>
          <w:szCs w:val="20"/>
          <w:lang w:val="fr-FR"/>
        </w:rPr>
        <w:fldChar w:fldCharType="begin" w:fldLock="1"/>
      </w:r>
      <w:r w:rsidR="00310DED">
        <w:rPr>
          <w:rFonts w:ascii="Palatino Linotype" w:hAnsi="Palatino Linotype"/>
          <w:bCs/>
          <w:sz w:val="20"/>
          <w:szCs w:val="20"/>
          <w:lang w:val="fr-FR"/>
        </w:rPr>
        <w:instrText>ADDIN CSL_CITATION {"citationItems":[{"id":"ITEM-1","itemData":{"DOI":"10.1109/ICCED.2018.00026","ISBN":"9781538693780","abstract":"The focus of this study is to identify factors that affecting the desires of investors or lenders to invest in Indonesian Small Medium Enterprises (SMEs) through the service provider peer-To-peer lending (P2P lending). This is because there are P2P lending that could not raise funds amounts required by the borrower (SMEs) in full and within the given deadline. This research uses quantitative method using survey to 214 respondents and data is analyzed using Partial Least Square-Structural Equation Modeling (PLS-SEM) approach. Result of analysis from this research identified the factors that influence investors' desire to invest in Indonesian SMEs namely perceived risk and investor trust to P2P lending platform (platform trust). Perceived risk factors inversely proportional to the level of investors' desire to invest capital. While the platform factor is directly proportional to the desire of investors to invest capital. Thus, it can be concluded that the less risk potentially arise and the higher investors' confidence in the P2P lending platform, the higher the investors' desire to invest.","author":[{"dropping-particle":"","family":"Puteri","given":"Fatimah Shera","non-dropping-particle":"","parse-names":false,"suffix":""},{"dropping-particle":"","family":"Handayani","given":"Putu Wuri","non-dropping-particle":"","parse-names":false,"suffix":""},{"dropping-particle":"","family":"Azzahro","given":"Fatimah","non-dropping-particle":"","parse-names":false,"suffix":""},{"dropping-particle":"","family":"Pinem","given":"Ave Adriana","non-dropping-particle":"","parse-names":false,"suffix":""}],"container-title":"Proceedings - 2018 4th International Conference on Computing, Engineering, and Design, ICCED 2018","id":"ITEM-1","issued":{"date-parts":[["2019"]]},"page":"87-92","title":"Analysis of investor intention to invest capital in small and medium enterprises through peer-to-peer lending in Indonesia","type":"article-journal"},"uris":["http://www.mendeley.com/documents/?uuid=f8b7b9b5-4286-4397-bb89-5b67dbdac06e"]}],"mendeley":{"formattedCitation":"[28]","plainTextFormattedCitation":"[28]","previouslyFormattedCitation":"[28]"},"properties":{"noteIndex":0},"schema":"https://github.com/citation-style-language/schema/raw/master/csl-citation.json"}</w:instrText>
      </w:r>
      <w:r w:rsidRPr="00227A76">
        <w:rPr>
          <w:rFonts w:ascii="Palatino Linotype" w:hAnsi="Palatino Linotype"/>
          <w:bCs/>
          <w:sz w:val="20"/>
          <w:szCs w:val="20"/>
          <w:lang w:val="fr-FR"/>
        </w:rPr>
        <w:fldChar w:fldCharType="separate"/>
      </w:r>
      <w:r w:rsidR="00227A76" w:rsidRPr="00227A76">
        <w:rPr>
          <w:rFonts w:ascii="Palatino Linotype" w:hAnsi="Palatino Linotype"/>
          <w:bCs/>
          <w:noProof/>
          <w:sz w:val="20"/>
          <w:szCs w:val="20"/>
          <w:lang w:val="fr-FR"/>
        </w:rPr>
        <w:t>[28]</w:t>
      </w:r>
      <w:r w:rsidRPr="00227A76">
        <w:rPr>
          <w:rFonts w:ascii="Palatino Linotype" w:hAnsi="Palatino Linotype"/>
          <w:bCs/>
          <w:sz w:val="20"/>
          <w:szCs w:val="20"/>
          <w:lang w:val="fr-FR"/>
        </w:rPr>
        <w:fldChar w:fldCharType="end"/>
      </w:r>
      <w:r w:rsidRPr="00227A76">
        <w:rPr>
          <w:rFonts w:ascii="Palatino Linotype" w:hAnsi="Palatino Linotype"/>
          <w:bCs/>
          <w:sz w:val="20"/>
          <w:szCs w:val="20"/>
          <w:lang w:val="fr-FR"/>
        </w:rPr>
        <w:fldChar w:fldCharType="begin" w:fldLock="1"/>
      </w:r>
      <w:r w:rsidR="00310DED">
        <w:rPr>
          <w:rFonts w:ascii="Palatino Linotype" w:hAnsi="Palatino Linotype"/>
          <w:bCs/>
          <w:sz w:val="20"/>
          <w:szCs w:val="20"/>
          <w:lang w:val="fr-FR"/>
        </w:rPr>
        <w:instrText>ADDIN CSL_CITATION {"citationItems":[{"id":"ITEM-1","itemData":{"DOI":"10.1108/IntR-11-2016-0359","ISBN":"1120160359","ISSN":"10662243","abstract":"Purpose: The purpose of this paper is to investigate the mechanism of building trust during the transition from online payment to mobile payment, as well as to examine the effect of trust on the satisfaction and continuance intention of mobile payment users. Based on trust transfer theory, this study proposes that trust in online payment (i.e. trust in source) and two source-target relationship factors, namely, perceived similarity and entitativity, affect trust in mobile payment (i.e. trust in target). In turn, the resulting trust influences user satisfaction and continuance intention toward mobile payment in an online-mobile payment context. Design/methodology/approach: The model was empirically tested on data collected from 219 mobile payment users of a famous payment enterprise in China. Findings: The results indicated that the trust transfer process positively influences the continuance intention of mobile payment through satisfaction. Satisfaction is an important factor affecting continuance intention. Moreover, trust in online payment, perceived similarity, and perceived entitativity between online and mobile payments can positively influence trust in mobile payment. Originality/value: This study investigates the post-adoption usage of mobile payment from the trust transfer perspective. It focuses on the trust-building process and emphasizes the importance of trust on the continuance intention toward mobile payment in an online-mobile payment context.","author":[{"dropping-particle":"","family":"Cao","given":"Xiongfei","non-dropping-particle":"","parse-names":false,"suffix":""},{"dropping-particle":"","family":"Yu","given":"Lingling","non-dropping-particle":"","parse-names":false,"suffix":""},{"dropping-particle":"","family":"Liu","given":"Zhiying","non-dropping-particle":"","parse-names":false,"suffix":""},{"dropping-particle":"","family":"Gong","given":"Mingchuan","non-dropping-particle":"","parse-names":false,"suffix":""},{"dropping-particle":"","family":"Adeel","given":"Luqman","non-dropping-particle":"","parse-names":false,"suffix":""}],"container-title":"Internet Research","id":"ITEM-1","issue":"2","issued":{"date-parts":[["2018"]]},"page":"456-476","title":"Understanding mobile payment users’ continuance intention: a trust transfer perspective","type":"article-journal","volume":"28"},"uris":["http://www.mendeley.com/documents/?uuid=5bb3aeef-30fc-41f4-bd52-15f912e570c2"]}],"mendeley":{"formattedCitation":"[29]","plainTextFormattedCitation":"[29]","previouslyFormattedCitation":"[29]"},"properties":{"noteIndex":0},"schema":"https://github.com/citation-style-language/schema/raw/master/csl-citation.json"}</w:instrText>
      </w:r>
      <w:r w:rsidRPr="00227A76">
        <w:rPr>
          <w:rFonts w:ascii="Palatino Linotype" w:hAnsi="Palatino Linotype"/>
          <w:bCs/>
          <w:sz w:val="20"/>
          <w:szCs w:val="20"/>
          <w:lang w:val="fr-FR"/>
        </w:rPr>
        <w:fldChar w:fldCharType="separate"/>
      </w:r>
      <w:r w:rsidR="00227A76" w:rsidRPr="00227A76">
        <w:rPr>
          <w:rFonts w:ascii="Palatino Linotype" w:hAnsi="Palatino Linotype"/>
          <w:bCs/>
          <w:noProof/>
          <w:sz w:val="20"/>
          <w:szCs w:val="20"/>
          <w:lang w:val="fr-FR"/>
        </w:rPr>
        <w:t>[29]</w:t>
      </w:r>
      <w:r w:rsidRPr="00227A76">
        <w:rPr>
          <w:rFonts w:ascii="Palatino Linotype" w:hAnsi="Palatino Linotype"/>
          <w:bCs/>
          <w:sz w:val="20"/>
          <w:szCs w:val="20"/>
          <w:lang w:val="fr-FR"/>
        </w:rPr>
        <w:fldChar w:fldCharType="end"/>
      </w:r>
      <w:r w:rsidRPr="00227A76">
        <w:rPr>
          <w:rFonts w:ascii="Palatino Linotype" w:hAnsi="Palatino Linotype"/>
          <w:bCs/>
          <w:sz w:val="20"/>
          <w:szCs w:val="20"/>
          <w:lang w:val="fr-FR"/>
        </w:rPr>
        <w:fldChar w:fldCharType="begin" w:fldLock="1"/>
      </w:r>
      <w:r w:rsidR="00310DED">
        <w:rPr>
          <w:rFonts w:ascii="Palatino Linotype" w:hAnsi="Palatino Linotype"/>
          <w:bCs/>
          <w:sz w:val="20"/>
          <w:szCs w:val="20"/>
          <w:lang w:val="fr-FR"/>
        </w:rPr>
        <w:instrText>ADDIN CSL_CITATION {"citationItems":[{"id":"ITEM-1","itemData":{"ISBN":"9781538645710","author":[{"dropping-particle":"","family":"Indrawati; Dianty Anggraini Putri","given":"","non-dropping-particle":"","parse-names":false,"suffix":""}],"container-title":"2018 6th International Conference on Information and Communication Technology (ICoICT)","id":"ITEM-1","issued":{"date-parts":[["2018"]]},"page":"167-173","publisher":"IEEE","title":"Analyzing Factors Influencing Continuance Intention of E-Payment Adoption Using Modified UTAUT 2 Model","type":"article-journal"},"uris":["http://www.mendeley.com/documents/?uuid=2b5f28d8-cff7-4982-8218-47de6f011b25"]}],"mendeley":{"formattedCitation":"[25]","plainTextFormattedCitation":"[25]","previouslyFormattedCitation":"[25]"},"properties":{"noteIndex":0},"schema":"https://github.com/citation-style-language/schema/raw/master/csl-citation.json"}</w:instrText>
      </w:r>
      <w:r w:rsidRPr="00227A76">
        <w:rPr>
          <w:rFonts w:ascii="Palatino Linotype" w:hAnsi="Palatino Linotype"/>
          <w:bCs/>
          <w:sz w:val="20"/>
          <w:szCs w:val="20"/>
          <w:lang w:val="fr-FR"/>
        </w:rPr>
        <w:fldChar w:fldCharType="separate"/>
      </w:r>
      <w:r w:rsidR="00227A76" w:rsidRPr="00227A76">
        <w:rPr>
          <w:rFonts w:ascii="Palatino Linotype" w:hAnsi="Palatino Linotype"/>
          <w:bCs/>
          <w:noProof/>
          <w:sz w:val="20"/>
          <w:szCs w:val="20"/>
          <w:lang w:val="fr-FR"/>
        </w:rPr>
        <w:t>[25]</w:t>
      </w:r>
      <w:r w:rsidRPr="00227A76">
        <w:rPr>
          <w:rFonts w:ascii="Palatino Linotype" w:hAnsi="Palatino Linotype"/>
          <w:bCs/>
          <w:sz w:val="20"/>
          <w:szCs w:val="20"/>
          <w:lang w:val="fr-FR"/>
        </w:rPr>
        <w:fldChar w:fldCharType="end"/>
      </w:r>
      <w:r w:rsidRPr="00227A76">
        <w:rPr>
          <w:rFonts w:ascii="Palatino Linotype" w:hAnsi="Palatino Linotype"/>
          <w:bCs/>
          <w:sz w:val="20"/>
          <w:szCs w:val="20"/>
          <w:lang w:val="fr-FR"/>
        </w:rPr>
        <w:t xml:space="preserve">. This </w:t>
      </w:r>
      <w:proofErr w:type="spellStart"/>
      <w:r w:rsidRPr="00227A76">
        <w:rPr>
          <w:rFonts w:ascii="Palatino Linotype" w:hAnsi="Palatino Linotype"/>
          <w:bCs/>
          <w:sz w:val="20"/>
          <w:szCs w:val="20"/>
          <w:lang w:val="fr-FR"/>
        </w:rPr>
        <w:t>result</w:t>
      </w:r>
      <w:proofErr w:type="spellEnd"/>
      <w:r w:rsidRPr="00227A76">
        <w:rPr>
          <w:rFonts w:ascii="Palatino Linotype" w:hAnsi="Palatino Linotype"/>
          <w:bCs/>
          <w:sz w:val="20"/>
          <w:szCs w:val="20"/>
          <w:lang w:val="fr-FR"/>
        </w:rPr>
        <w:t xml:space="preserve"> can </w:t>
      </w:r>
      <w:proofErr w:type="spellStart"/>
      <w:r w:rsidRPr="00227A76">
        <w:rPr>
          <w:rFonts w:ascii="Palatino Linotype" w:hAnsi="Palatino Linotype"/>
          <w:bCs/>
          <w:sz w:val="20"/>
          <w:szCs w:val="20"/>
          <w:lang w:val="fr-FR"/>
        </w:rPr>
        <w:t>be</w:t>
      </w:r>
      <w:proofErr w:type="spellEnd"/>
      <w:r w:rsidRPr="00227A76">
        <w:rPr>
          <w:rFonts w:ascii="Palatino Linotype" w:hAnsi="Palatino Linotype"/>
          <w:bCs/>
          <w:sz w:val="20"/>
          <w:szCs w:val="20"/>
          <w:lang w:val="fr-FR"/>
        </w:rPr>
        <w:t xml:space="preserve"> </w:t>
      </w:r>
      <w:proofErr w:type="spellStart"/>
      <w:r w:rsidRPr="00227A76">
        <w:rPr>
          <w:rFonts w:ascii="Palatino Linotype" w:hAnsi="Palatino Linotype"/>
          <w:bCs/>
          <w:sz w:val="20"/>
          <w:szCs w:val="20"/>
          <w:lang w:val="fr-FR"/>
        </w:rPr>
        <w:t>explained</w:t>
      </w:r>
      <w:proofErr w:type="spellEnd"/>
      <w:r w:rsidRPr="00227A76">
        <w:rPr>
          <w:rFonts w:ascii="Palatino Linotype" w:hAnsi="Palatino Linotype"/>
          <w:bCs/>
          <w:sz w:val="20"/>
          <w:szCs w:val="20"/>
          <w:lang w:val="fr-FR"/>
        </w:rPr>
        <w:t xml:space="preserve"> </w:t>
      </w:r>
      <w:proofErr w:type="spellStart"/>
      <w:r w:rsidRPr="00227A76">
        <w:rPr>
          <w:rFonts w:ascii="Palatino Linotype" w:hAnsi="Palatino Linotype"/>
          <w:bCs/>
          <w:sz w:val="20"/>
          <w:szCs w:val="20"/>
          <w:lang w:val="fr-FR"/>
        </w:rPr>
        <w:t>because</w:t>
      </w:r>
      <w:proofErr w:type="spellEnd"/>
      <w:r w:rsidRPr="00227A76">
        <w:rPr>
          <w:rFonts w:ascii="Palatino Linotype" w:hAnsi="Palatino Linotype"/>
          <w:bCs/>
          <w:sz w:val="20"/>
          <w:szCs w:val="20"/>
          <w:lang w:val="fr-FR"/>
        </w:rPr>
        <w:t xml:space="preserve"> the </w:t>
      </w:r>
      <w:proofErr w:type="spellStart"/>
      <w:r w:rsidRPr="00227A76">
        <w:rPr>
          <w:rFonts w:ascii="Palatino Linotype" w:hAnsi="Palatino Linotype"/>
          <w:bCs/>
          <w:sz w:val="20"/>
          <w:szCs w:val="20"/>
          <w:lang w:val="fr-FR"/>
        </w:rPr>
        <w:t>interest</w:t>
      </w:r>
      <w:proofErr w:type="spellEnd"/>
      <w:r w:rsidRPr="00227A76">
        <w:rPr>
          <w:rFonts w:ascii="Palatino Linotype" w:hAnsi="Palatino Linotype"/>
          <w:bCs/>
          <w:sz w:val="20"/>
          <w:szCs w:val="20"/>
          <w:lang w:val="fr-FR"/>
        </w:rPr>
        <w:t xml:space="preserve"> rates </w:t>
      </w:r>
      <w:proofErr w:type="spellStart"/>
      <w:r w:rsidRPr="00227A76">
        <w:rPr>
          <w:rFonts w:ascii="Palatino Linotype" w:hAnsi="Palatino Linotype"/>
          <w:bCs/>
          <w:sz w:val="20"/>
          <w:szCs w:val="20"/>
          <w:lang w:val="fr-FR"/>
        </w:rPr>
        <w:t>offered</w:t>
      </w:r>
      <w:proofErr w:type="spellEnd"/>
      <w:r w:rsidRPr="00227A76">
        <w:rPr>
          <w:rFonts w:ascii="Palatino Linotype" w:hAnsi="Palatino Linotype"/>
          <w:bCs/>
          <w:sz w:val="20"/>
          <w:szCs w:val="20"/>
          <w:lang w:val="fr-FR"/>
        </w:rPr>
        <w:t xml:space="preserve"> by FinTech </w:t>
      </w:r>
      <w:proofErr w:type="spellStart"/>
      <w:r w:rsidRPr="00227A76">
        <w:rPr>
          <w:rFonts w:ascii="Palatino Linotype" w:hAnsi="Palatino Linotype"/>
          <w:bCs/>
          <w:sz w:val="20"/>
          <w:szCs w:val="20"/>
          <w:lang w:val="fr-FR"/>
        </w:rPr>
        <w:t>Lending</w:t>
      </w:r>
      <w:proofErr w:type="spellEnd"/>
      <w:r w:rsidRPr="00227A76">
        <w:rPr>
          <w:rFonts w:ascii="Palatino Linotype" w:hAnsi="Palatino Linotype"/>
          <w:bCs/>
          <w:sz w:val="20"/>
          <w:szCs w:val="20"/>
          <w:lang w:val="fr-FR"/>
        </w:rPr>
        <w:t xml:space="preserve"> in </w:t>
      </w:r>
      <w:proofErr w:type="spellStart"/>
      <w:r w:rsidRPr="00227A76">
        <w:rPr>
          <w:rFonts w:ascii="Palatino Linotype" w:hAnsi="Palatino Linotype"/>
          <w:bCs/>
          <w:sz w:val="20"/>
          <w:szCs w:val="20"/>
          <w:lang w:val="fr-FR"/>
        </w:rPr>
        <w:t>Indonesia</w:t>
      </w:r>
      <w:proofErr w:type="spellEnd"/>
      <w:r w:rsidRPr="00227A76">
        <w:rPr>
          <w:rFonts w:ascii="Palatino Linotype" w:hAnsi="Palatino Linotype"/>
          <w:bCs/>
          <w:sz w:val="20"/>
          <w:szCs w:val="20"/>
          <w:lang w:val="fr-FR"/>
        </w:rPr>
        <w:t xml:space="preserve"> are </w:t>
      </w:r>
      <w:proofErr w:type="spellStart"/>
      <w:r w:rsidRPr="00227A76">
        <w:rPr>
          <w:rFonts w:ascii="Palatino Linotype" w:hAnsi="Palatino Linotype"/>
          <w:bCs/>
          <w:sz w:val="20"/>
          <w:szCs w:val="20"/>
          <w:lang w:val="fr-FR"/>
        </w:rPr>
        <w:t>still</w:t>
      </w:r>
      <w:proofErr w:type="spellEnd"/>
      <w:r w:rsidRPr="00227A76">
        <w:rPr>
          <w:rFonts w:ascii="Palatino Linotype" w:hAnsi="Palatino Linotype"/>
          <w:bCs/>
          <w:sz w:val="20"/>
          <w:szCs w:val="20"/>
          <w:lang w:val="fr-FR"/>
        </w:rPr>
        <w:t xml:space="preserve"> </w:t>
      </w:r>
      <w:proofErr w:type="spellStart"/>
      <w:r w:rsidRPr="00227A76">
        <w:rPr>
          <w:rFonts w:ascii="Palatino Linotype" w:hAnsi="Palatino Linotype"/>
          <w:bCs/>
          <w:sz w:val="20"/>
          <w:szCs w:val="20"/>
          <w:lang w:val="fr-FR"/>
        </w:rPr>
        <w:t>less</w:t>
      </w:r>
      <w:proofErr w:type="spellEnd"/>
      <w:r w:rsidRPr="00227A76">
        <w:rPr>
          <w:rFonts w:ascii="Palatino Linotype" w:hAnsi="Palatino Linotype"/>
          <w:bCs/>
          <w:sz w:val="20"/>
          <w:szCs w:val="20"/>
          <w:lang w:val="fr-FR"/>
        </w:rPr>
        <w:t xml:space="preserve"> </w:t>
      </w:r>
      <w:proofErr w:type="spellStart"/>
      <w:r w:rsidRPr="00227A76">
        <w:rPr>
          <w:rFonts w:ascii="Palatino Linotype" w:hAnsi="Palatino Linotype"/>
          <w:bCs/>
          <w:sz w:val="20"/>
          <w:szCs w:val="20"/>
          <w:lang w:val="fr-FR"/>
        </w:rPr>
        <w:t>competitive</w:t>
      </w:r>
      <w:proofErr w:type="spellEnd"/>
      <w:r w:rsidRPr="00227A76">
        <w:rPr>
          <w:rFonts w:ascii="Palatino Linotype" w:hAnsi="Palatino Linotype"/>
          <w:bCs/>
          <w:sz w:val="20"/>
          <w:szCs w:val="20"/>
          <w:lang w:val="fr-FR"/>
        </w:rPr>
        <w:t xml:space="preserve"> </w:t>
      </w:r>
      <w:proofErr w:type="spellStart"/>
      <w:r w:rsidRPr="00227A76">
        <w:rPr>
          <w:rFonts w:ascii="Palatino Linotype" w:hAnsi="Palatino Linotype"/>
          <w:bCs/>
          <w:sz w:val="20"/>
          <w:szCs w:val="20"/>
          <w:lang w:val="fr-FR"/>
        </w:rPr>
        <w:t>than</w:t>
      </w:r>
      <w:proofErr w:type="spellEnd"/>
      <w:r w:rsidRPr="00227A76">
        <w:rPr>
          <w:rFonts w:ascii="Palatino Linotype" w:hAnsi="Palatino Linotype"/>
          <w:bCs/>
          <w:sz w:val="20"/>
          <w:szCs w:val="20"/>
          <w:lang w:val="fr-FR"/>
        </w:rPr>
        <w:t xml:space="preserve"> </w:t>
      </w:r>
      <w:proofErr w:type="spellStart"/>
      <w:r w:rsidRPr="00227A76">
        <w:rPr>
          <w:rFonts w:ascii="Palatino Linotype" w:hAnsi="Palatino Linotype"/>
          <w:bCs/>
          <w:sz w:val="20"/>
          <w:szCs w:val="20"/>
          <w:lang w:val="fr-FR"/>
        </w:rPr>
        <w:t>those</w:t>
      </w:r>
      <w:proofErr w:type="spellEnd"/>
      <w:r w:rsidRPr="00227A76">
        <w:rPr>
          <w:rFonts w:ascii="Palatino Linotype" w:hAnsi="Palatino Linotype"/>
          <w:bCs/>
          <w:sz w:val="20"/>
          <w:szCs w:val="20"/>
          <w:lang w:val="fr-FR"/>
        </w:rPr>
        <w:t xml:space="preserve"> </w:t>
      </w:r>
      <w:proofErr w:type="spellStart"/>
      <w:r w:rsidRPr="00227A76">
        <w:rPr>
          <w:rFonts w:ascii="Palatino Linotype" w:hAnsi="Palatino Linotype"/>
          <w:bCs/>
          <w:sz w:val="20"/>
          <w:szCs w:val="20"/>
          <w:lang w:val="fr-FR"/>
        </w:rPr>
        <w:t>offered</w:t>
      </w:r>
      <w:proofErr w:type="spellEnd"/>
      <w:r w:rsidRPr="00227A76">
        <w:rPr>
          <w:rFonts w:ascii="Palatino Linotype" w:hAnsi="Palatino Linotype"/>
          <w:bCs/>
          <w:sz w:val="20"/>
          <w:szCs w:val="20"/>
          <w:lang w:val="fr-FR"/>
        </w:rPr>
        <w:t xml:space="preserve"> by </w:t>
      </w:r>
      <w:proofErr w:type="spellStart"/>
      <w:r w:rsidRPr="00227A76">
        <w:rPr>
          <w:rFonts w:ascii="Palatino Linotype" w:hAnsi="Palatino Linotype"/>
          <w:bCs/>
          <w:sz w:val="20"/>
          <w:szCs w:val="20"/>
          <w:lang w:val="fr-FR"/>
        </w:rPr>
        <w:t>banks</w:t>
      </w:r>
      <w:proofErr w:type="spellEnd"/>
      <w:r w:rsidRPr="00227A76">
        <w:rPr>
          <w:rFonts w:ascii="Palatino Linotype" w:hAnsi="Palatino Linotype"/>
          <w:bCs/>
          <w:sz w:val="20"/>
          <w:szCs w:val="20"/>
          <w:lang w:val="fr-FR"/>
        </w:rPr>
        <w:t xml:space="preserve">. The </w:t>
      </w:r>
      <w:proofErr w:type="spellStart"/>
      <w:r w:rsidRPr="00227A76">
        <w:rPr>
          <w:rFonts w:ascii="Palatino Linotype" w:hAnsi="Palatino Linotype"/>
          <w:bCs/>
          <w:sz w:val="20"/>
          <w:szCs w:val="20"/>
          <w:lang w:val="fr-FR"/>
        </w:rPr>
        <w:t>interest</w:t>
      </w:r>
      <w:proofErr w:type="spellEnd"/>
      <w:r w:rsidRPr="00227A76">
        <w:rPr>
          <w:rFonts w:ascii="Palatino Linotype" w:hAnsi="Palatino Linotype"/>
          <w:bCs/>
          <w:sz w:val="20"/>
          <w:szCs w:val="20"/>
          <w:lang w:val="fr-FR"/>
        </w:rPr>
        <w:t xml:space="preserve"> rates </w:t>
      </w:r>
      <w:proofErr w:type="spellStart"/>
      <w:r w:rsidRPr="00227A76">
        <w:rPr>
          <w:rFonts w:ascii="Palatino Linotype" w:hAnsi="Palatino Linotype"/>
          <w:bCs/>
          <w:sz w:val="20"/>
          <w:szCs w:val="20"/>
          <w:lang w:val="fr-FR"/>
        </w:rPr>
        <w:t>offered</w:t>
      </w:r>
      <w:proofErr w:type="spellEnd"/>
      <w:r w:rsidRPr="00227A76">
        <w:rPr>
          <w:rFonts w:ascii="Palatino Linotype" w:hAnsi="Palatino Linotype"/>
          <w:bCs/>
          <w:sz w:val="20"/>
          <w:szCs w:val="20"/>
          <w:lang w:val="fr-FR"/>
        </w:rPr>
        <w:t xml:space="preserve"> by FinTech </w:t>
      </w:r>
      <w:proofErr w:type="spellStart"/>
      <w:r w:rsidRPr="00227A76">
        <w:rPr>
          <w:rFonts w:ascii="Palatino Linotype" w:hAnsi="Palatino Linotype"/>
          <w:bCs/>
          <w:sz w:val="20"/>
          <w:szCs w:val="20"/>
          <w:lang w:val="fr-FR"/>
        </w:rPr>
        <w:t>Lending</w:t>
      </w:r>
      <w:proofErr w:type="spellEnd"/>
      <w:r w:rsidRPr="00227A76">
        <w:rPr>
          <w:rFonts w:ascii="Palatino Linotype" w:hAnsi="Palatino Linotype"/>
          <w:bCs/>
          <w:sz w:val="20"/>
          <w:szCs w:val="20"/>
          <w:lang w:val="fr-FR"/>
        </w:rPr>
        <w:t xml:space="preserve"> </w:t>
      </w:r>
      <w:proofErr w:type="spellStart"/>
      <w:r w:rsidRPr="00227A76">
        <w:rPr>
          <w:rFonts w:ascii="Palatino Linotype" w:hAnsi="Palatino Linotype"/>
          <w:bCs/>
          <w:sz w:val="20"/>
          <w:szCs w:val="20"/>
          <w:lang w:val="fr-FR"/>
        </w:rPr>
        <w:t>always</w:t>
      </w:r>
      <w:proofErr w:type="spellEnd"/>
      <w:r w:rsidRPr="00227A76">
        <w:rPr>
          <w:rFonts w:ascii="Palatino Linotype" w:hAnsi="Palatino Linotype"/>
          <w:bCs/>
          <w:sz w:val="20"/>
          <w:szCs w:val="20"/>
          <w:lang w:val="fr-FR"/>
        </w:rPr>
        <w:t xml:space="preserve"> tend to </w:t>
      </w:r>
      <w:proofErr w:type="spellStart"/>
      <w:r w:rsidRPr="00227A76">
        <w:rPr>
          <w:rFonts w:ascii="Palatino Linotype" w:hAnsi="Palatino Linotype"/>
          <w:bCs/>
          <w:sz w:val="20"/>
          <w:szCs w:val="20"/>
          <w:lang w:val="fr-FR"/>
        </w:rPr>
        <w:t>be</w:t>
      </w:r>
      <w:proofErr w:type="spellEnd"/>
      <w:r w:rsidRPr="00227A76">
        <w:rPr>
          <w:rFonts w:ascii="Palatino Linotype" w:hAnsi="Palatino Linotype"/>
          <w:bCs/>
          <w:sz w:val="20"/>
          <w:szCs w:val="20"/>
          <w:lang w:val="fr-FR"/>
        </w:rPr>
        <w:t xml:space="preserve"> high, </w:t>
      </w:r>
      <w:proofErr w:type="spellStart"/>
      <w:r w:rsidRPr="00227A76">
        <w:rPr>
          <w:rFonts w:ascii="Palatino Linotype" w:hAnsi="Palatino Linotype"/>
          <w:bCs/>
          <w:sz w:val="20"/>
          <w:szCs w:val="20"/>
          <w:lang w:val="fr-FR"/>
        </w:rPr>
        <w:t>so</w:t>
      </w:r>
      <w:proofErr w:type="spellEnd"/>
      <w:r w:rsidRPr="00227A76">
        <w:rPr>
          <w:rFonts w:ascii="Palatino Linotype" w:hAnsi="Palatino Linotype"/>
          <w:bCs/>
          <w:sz w:val="20"/>
          <w:szCs w:val="20"/>
          <w:lang w:val="fr-FR"/>
        </w:rPr>
        <w:t xml:space="preserve"> </w:t>
      </w:r>
      <w:proofErr w:type="spellStart"/>
      <w:r w:rsidRPr="00227A76">
        <w:rPr>
          <w:rFonts w:ascii="Palatino Linotype" w:hAnsi="Palatino Linotype"/>
          <w:bCs/>
          <w:sz w:val="20"/>
          <w:szCs w:val="20"/>
          <w:lang w:val="fr-FR"/>
        </w:rPr>
        <w:t>users</w:t>
      </w:r>
      <w:proofErr w:type="spellEnd"/>
      <w:r w:rsidRPr="00227A76">
        <w:rPr>
          <w:rFonts w:ascii="Palatino Linotype" w:hAnsi="Palatino Linotype"/>
          <w:bCs/>
          <w:sz w:val="20"/>
          <w:szCs w:val="20"/>
          <w:lang w:val="fr-FR"/>
        </w:rPr>
        <w:t xml:space="preserve"> </w:t>
      </w:r>
      <w:proofErr w:type="spellStart"/>
      <w:r w:rsidRPr="00227A76">
        <w:rPr>
          <w:rFonts w:ascii="Palatino Linotype" w:hAnsi="Palatino Linotype"/>
          <w:bCs/>
          <w:sz w:val="20"/>
          <w:szCs w:val="20"/>
          <w:lang w:val="fr-FR"/>
        </w:rPr>
        <w:t>will</w:t>
      </w:r>
      <w:proofErr w:type="spellEnd"/>
      <w:r w:rsidRPr="00227A76">
        <w:rPr>
          <w:rFonts w:ascii="Palatino Linotype" w:hAnsi="Palatino Linotype"/>
          <w:bCs/>
          <w:sz w:val="20"/>
          <w:szCs w:val="20"/>
          <w:lang w:val="fr-FR"/>
        </w:rPr>
        <w:t xml:space="preserve"> have </w:t>
      </w:r>
      <w:proofErr w:type="spellStart"/>
      <w:r w:rsidRPr="00227A76">
        <w:rPr>
          <w:rFonts w:ascii="Palatino Linotype" w:hAnsi="Palatino Linotype"/>
          <w:bCs/>
          <w:sz w:val="20"/>
          <w:szCs w:val="20"/>
          <w:lang w:val="fr-FR"/>
        </w:rPr>
        <w:t>difficulty</w:t>
      </w:r>
      <w:proofErr w:type="spellEnd"/>
      <w:r w:rsidRPr="00227A76">
        <w:rPr>
          <w:rFonts w:ascii="Palatino Linotype" w:hAnsi="Palatino Linotype"/>
          <w:bCs/>
          <w:sz w:val="20"/>
          <w:szCs w:val="20"/>
          <w:lang w:val="fr-FR"/>
        </w:rPr>
        <w:t xml:space="preserve"> </w:t>
      </w:r>
      <w:proofErr w:type="spellStart"/>
      <w:r w:rsidRPr="00227A76">
        <w:rPr>
          <w:rFonts w:ascii="Palatino Linotype" w:hAnsi="Palatino Linotype"/>
          <w:bCs/>
          <w:sz w:val="20"/>
          <w:szCs w:val="20"/>
          <w:lang w:val="fr-FR"/>
        </w:rPr>
        <w:t>paying</w:t>
      </w:r>
      <w:proofErr w:type="spellEnd"/>
      <w:r w:rsidRPr="00227A76">
        <w:rPr>
          <w:rFonts w:ascii="Palatino Linotype" w:hAnsi="Palatino Linotype"/>
          <w:bCs/>
          <w:sz w:val="20"/>
          <w:szCs w:val="20"/>
          <w:lang w:val="fr-FR"/>
        </w:rPr>
        <w:t xml:space="preserve"> </w:t>
      </w:r>
      <w:proofErr w:type="spellStart"/>
      <w:r w:rsidRPr="00227A76">
        <w:rPr>
          <w:rFonts w:ascii="Palatino Linotype" w:hAnsi="Palatino Linotype"/>
          <w:bCs/>
          <w:sz w:val="20"/>
          <w:szCs w:val="20"/>
          <w:lang w:val="fr-FR"/>
        </w:rPr>
        <w:t>installments</w:t>
      </w:r>
      <w:proofErr w:type="spellEnd"/>
      <w:r w:rsidRPr="00227A76">
        <w:rPr>
          <w:rFonts w:ascii="Palatino Linotype" w:hAnsi="Palatino Linotype"/>
          <w:bCs/>
          <w:sz w:val="20"/>
          <w:szCs w:val="20"/>
          <w:lang w:val="fr-FR"/>
        </w:rPr>
        <w:t xml:space="preserve"> and </w:t>
      </w:r>
      <w:proofErr w:type="spellStart"/>
      <w:r w:rsidRPr="00227A76">
        <w:rPr>
          <w:rFonts w:ascii="Palatino Linotype" w:hAnsi="Palatino Linotype"/>
          <w:bCs/>
          <w:sz w:val="20"/>
          <w:szCs w:val="20"/>
          <w:lang w:val="fr-FR"/>
        </w:rPr>
        <w:t>returning</w:t>
      </w:r>
      <w:proofErr w:type="spellEnd"/>
      <w:r w:rsidRPr="00227A76">
        <w:rPr>
          <w:rFonts w:ascii="Palatino Linotype" w:hAnsi="Palatino Linotype"/>
          <w:bCs/>
          <w:sz w:val="20"/>
          <w:szCs w:val="20"/>
          <w:lang w:val="fr-FR"/>
        </w:rPr>
        <w:t xml:space="preserve"> </w:t>
      </w:r>
      <w:proofErr w:type="spellStart"/>
      <w:r w:rsidRPr="00227A76">
        <w:rPr>
          <w:rFonts w:ascii="Palatino Linotype" w:hAnsi="Palatino Linotype"/>
          <w:bCs/>
          <w:sz w:val="20"/>
          <w:szCs w:val="20"/>
          <w:lang w:val="fr-FR"/>
        </w:rPr>
        <w:t>loan</w:t>
      </w:r>
      <w:proofErr w:type="spellEnd"/>
      <w:r w:rsidRPr="00227A76">
        <w:rPr>
          <w:rFonts w:ascii="Palatino Linotype" w:hAnsi="Palatino Linotype"/>
          <w:bCs/>
          <w:sz w:val="20"/>
          <w:szCs w:val="20"/>
          <w:lang w:val="fr-FR"/>
        </w:rPr>
        <w:t xml:space="preserve"> </w:t>
      </w:r>
      <w:proofErr w:type="spellStart"/>
      <w:r w:rsidRPr="00227A76">
        <w:rPr>
          <w:rFonts w:ascii="Palatino Linotype" w:hAnsi="Palatino Linotype"/>
          <w:bCs/>
          <w:sz w:val="20"/>
          <w:szCs w:val="20"/>
          <w:lang w:val="fr-FR"/>
        </w:rPr>
        <w:t>funds</w:t>
      </w:r>
      <w:proofErr w:type="spellEnd"/>
      <w:r w:rsidRPr="00227A76">
        <w:rPr>
          <w:rFonts w:ascii="Palatino Linotype" w:hAnsi="Palatino Linotype"/>
          <w:bCs/>
          <w:sz w:val="20"/>
          <w:szCs w:val="20"/>
          <w:lang w:val="fr-FR"/>
        </w:rPr>
        <w:t>. High-</w:t>
      </w:r>
      <w:proofErr w:type="spellStart"/>
      <w:r w:rsidRPr="00227A76">
        <w:rPr>
          <w:rFonts w:ascii="Palatino Linotype" w:hAnsi="Palatino Linotype"/>
          <w:bCs/>
          <w:sz w:val="20"/>
          <w:szCs w:val="20"/>
          <w:lang w:val="fr-FR"/>
        </w:rPr>
        <w:t>interest</w:t>
      </w:r>
      <w:proofErr w:type="spellEnd"/>
      <w:r w:rsidRPr="00227A76">
        <w:rPr>
          <w:rFonts w:ascii="Palatino Linotype" w:hAnsi="Palatino Linotype"/>
          <w:bCs/>
          <w:sz w:val="20"/>
          <w:szCs w:val="20"/>
          <w:lang w:val="fr-FR"/>
        </w:rPr>
        <w:t xml:space="preserve"> rates can </w:t>
      </w:r>
      <w:proofErr w:type="spellStart"/>
      <w:r w:rsidRPr="00227A76">
        <w:rPr>
          <w:rFonts w:ascii="Palatino Linotype" w:hAnsi="Palatino Linotype"/>
          <w:bCs/>
          <w:sz w:val="20"/>
          <w:szCs w:val="20"/>
          <w:lang w:val="fr-FR"/>
        </w:rPr>
        <w:t>result</w:t>
      </w:r>
      <w:proofErr w:type="spellEnd"/>
      <w:r w:rsidRPr="00227A76">
        <w:rPr>
          <w:rFonts w:ascii="Palatino Linotype" w:hAnsi="Palatino Linotype"/>
          <w:bCs/>
          <w:sz w:val="20"/>
          <w:szCs w:val="20"/>
          <w:lang w:val="fr-FR"/>
        </w:rPr>
        <w:t xml:space="preserve"> in the </w:t>
      </w:r>
      <w:proofErr w:type="spellStart"/>
      <w:r w:rsidRPr="00227A76">
        <w:rPr>
          <w:rFonts w:ascii="Palatino Linotype" w:hAnsi="Palatino Linotype"/>
          <w:bCs/>
          <w:sz w:val="20"/>
          <w:szCs w:val="20"/>
          <w:lang w:val="fr-FR"/>
        </w:rPr>
        <w:t>possibility</w:t>
      </w:r>
      <w:proofErr w:type="spellEnd"/>
      <w:r w:rsidRPr="00227A76">
        <w:rPr>
          <w:rFonts w:ascii="Palatino Linotype" w:hAnsi="Palatino Linotype"/>
          <w:bCs/>
          <w:sz w:val="20"/>
          <w:szCs w:val="20"/>
          <w:lang w:val="fr-FR"/>
        </w:rPr>
        <w:t xml:space="preserve"> of default </w:t>
      </w:r>
      <w:proofErr w:type="spellStart"/>
      <w:r w:rsidRPr="00227A76">
        <w:rPr>
          <w:rFonts w:ascii="Palatino Linotype" w:hAnsi="Palatino Linotype"/>
          <w:bCs/>
          <w:sz w:val="20"/>
          <w:szCs w:val="20"/>
          <w:lang w:val="fr-FR"/>
        </w:rPr>
        <w:t>from</w:t>
      </w:r>
      <w:proofErr w:type="spellEnd"/>
      <w:r w:rsidRPr="00227A76">
        <w:rPr>
          <w:rFonts w:ascii="Palatino Linotype" w:hAnsi="Palatino Linotype"/>
          <w:bCs/>
          <w:sz w:val="20"/>
          <w:szCs w:val="20"/>
          <w:lang w:val="fr-FR"/>
        </w:rPr>
        <w:t xml:space="preserve"> service </w:t>
      </w:r>
      <w:proofErr w:type="spellStart"/>
      <w:r w:rsidRPr="00227A76">
        <w:rPr>
          <w:rFonts w:ascii="Palatino Linotype" w:hAnsi="Palatino Linotype"/>
          <w:bCs/>
          <w:sz w:val="20"/>
          <w:szCs w:val="20"/>
          <w:lang w:val="fr-FR"/>
        </w:rPr>
        <w:t>users</w:t>
      </w:r>
      <w:proofErr w:type="spellEnd"/>
      <w:r w:rsidRPr="00227A76">
        <w:rPr>
          <w:rFonts w:ascii="Palatino Linotype" w:hAnsi="Palatino Linotype"/>
          <w:bCs/>
          <w:sz w:val="20"/>
          <w:szCs w:val="20"/>
          <w:lang w:val="fr-FR"/>
        </w:rPr>
        <w:t xml:space="preserve">. The </w:t>
      </w:r>
      <w:proofErr w:type="spellStart"/>
      <w:r w:rsidRPr="00227A76">
        <w:rPr>
          <w:rFonts w:ascii="Palatino Linotype" w:hAnsi="Palatino Linotype"/>
          <w:bCs/>
          <w:sz w:val="20"/>
          <w:szCs w:val="20"/>
          <w:lang w:val="fr-FR"/>
        </w:rPr>
        <w:t>security</w:t>
      </w:r>
      <w:proofErr w:type="spellEnd"/>
      <w:r w:rsidRPr="00227A76">
        <w:rPr>
          <w:rFonts w:ascii="Palatino Linotype" w:hAnsi="Palatino Linotype"/>
          <w:bCs/>
          <w:sz w:val="20"/>
          <w:szCs w:val="20"/>
          <w:lang w:val="fr-FR"/>
        </w:rPr>
        <w:t xml:space="preserve"> </w:t>
      </w:r>
      <w:proofErr w:type="spellStart"/>
      <w:r w:rsidRPr="00227A76">
        <w:rPr>
          <w:rFonts w:ascii="Palatino Linotype" w:hAnsi="Palatino Linotype"/>
          <w:bCs/>
          <w:sz w:val="20"/>
          <w:szCs w:val="20"/>
          <w:lang w:val="fr-FR"/>
        </w:rPr>
        <w:t>that</w:t>
      </w:r>
      <w:proofErr w:type="spellEnd"/>
      <w:r w:rsidRPr="00227A76">
        <w:rPr>
          <w:rFonts w:ascii="Palatino Linotype" w:hAnsi="Palatino Linotype"/>
          <w:bCs/>
          <w:sz w:val="20"/>
          <w:szCs w:val="20"/>
          <w:lang w:val="fr-FR"/>
        </w:rPr>
        <w:t xml:space="preserve"> </w:t>
      </w:r>
      <w:proofErr w:type="spellStart"/>
      <w:r w:rsidRPr="00227A76">
        <w:rPr>
          <w:rFonts w:ascii="Palatino Linotype" w:hAnsi="Palatino Linotype"/>
          <w:bCs/>
          <w:sz w:val="20"/>
          <w:szCs w:val="20"/>
          <w:lang w:val="fr-FR"/>
        </w:rPr>
        <w:t>is</w:t>
      </w:r>
      <w:proofErr w:type="spellEnd"/>
      <w:r w:rsidRPr="00227A76">
        <w:rPr>
          <w:rFonts w:ascii="Palatino Linotype" w:hAnsi="Palatino Linotype"/>
          <w:bCs/>
          <w:sz w:val="20"/>
          <w:szCs w:val="20"/>
          <w:lang w:val="fr-FR"/>
        </w:rPr>
        <w:t xml:space="preserve"> </w:t>
      </w:r>
      <w:proofErr w:type="spellStart"/>
      <w:r w:rsidRPr="00227A76">
        <w:rPr>
          <w:rFonts w:ascii="Palatino Linotype" w:hAnsi="Palatino Linotype"/>
          <w:bCs/>
          <w:sz w:val="20"/>
          <w:szCs w:val="20"/>
          <w:lang w:val="fr-FR"/>
        </w:rPr>
        <w:t>owned</w:t>
      </w:r>
      <w:proofErr w:type="spellEnd"/>
      <w:r w:rsidRPr="00227A76">
        <w:rPr>
          <w:rFonts w:ascii="Palatino Linotype" w:hAnsi="Palatino Linotype"/>
          <w:bCs/>
          <w:sz w:val="20"/>
          <w:szCs w:val="20"/>
          <w:lang w:val="fr-FR"/>
        </w:rPr>
        <w:t xml:space="preserve"> by FinTech </w:t>
      </w:r>
      <w:proofErr w:type="spellStart"/>
      <w:r w:rsidRPr="00227A76">
        <w:rPr>
          <w:rFonts w:ascii="Palatino Linotype" w:hAnsi="Palatino Linotype"/>
          <w:bCs/>
          <w:sz w:val="20"/>
          <w:szCs w:val="20"/>
          <w:lang w:val="fr-FR"/>
        </w:rPr>
        <w:t>Lending</w:t>
      </w:r>
      <w:proofErr w:type="spellEnd"/>
      <w:r w:rsidRPr="00227A76">
        <w:rPr>
          <w:rFonts w:ascii="Palatino Linotype" w:hAnsi="Palatino Linotype"/>
          <w:bCs/>
          <w:sz w:val="20"/>
          <w:szCs w:val="20"/>
          <w:lang w:val="fr-FR"/>
        </w:rPr>
        <w:t xml:space="preserve"> </w:t>
      </w:r>
      <w:proofErr w:type="spellStart"/>
      <w:r w:rsidRPr="00227A76">
        <w:rPr>
          <w:rFonts w:ascii="Palatino Linotype" w:hAnsi="Palatino Linotype"/>
          <w:bCs/>
          <w:sz w:val="20"/>
          <w:szCs w:val="20"/>
          <w:lang w:val="fr-FR"/>
        </w:rPr>
        <w:t>is</w:t>
      </w:r>
      <w:proofErr w:type="spellEnd"/>
      <w:r w:rsidRPr="00227A76">
        <w:rPr>
          <w:rFonts w:ascii="Palatino Linotype" w:hAnsi="Palatino Linotype"/>
          <w:bCs/>
          <w:sz w:val="20"/>
          <w:szCs w:val="20"/>
          <w:lang w:val="fr-FR"/>
        </w:rPr>
        <w:t xml:space="preserve"> </w:t>
      </w:r>
      <w:proofErr w:type="spellStart"/>
      <w:r w:rsidRPr="00227A76">
        <w:rPr>
          <w:rFonts w:ascii="Palatino Linotype" w:hAnsi="Palatino Linotype"/>
          <w:bCs/>
          <w:sz w:val="20"/>
          <w:szCs w:val="20"/>
          <w:lang w:val="fr-FR"/>
        </w:rPr>
        <w:t>also</w:t>
      </w:r>
      <w:proofErr w:type="spellEnd"/>
      <w:r w:rsidRPr="00227A76">
        <w:rPr>
          <w:rFonts w:ascii="Palatino Linotype" w:hAnsi="Palatino Linotype"/>
          <w:bCs/>
          <w:sz w:val="20"/>
          <w:szCs w:val="20"/>
          <w:lang w:val="fr-FR"/>
        </w:rPr>
        <w:t xml:space="preserve"> not </w:t>
      </w:r>
      <w:proofErr w:type="spellStart"/>
      <w:r w:rsidRPr="00227A76">
        <w:rPr>
          <w:rFonts w:ascii="Palatino Linotype" w:hAnsi="Palatino Linotype"/>
          <w:bCs/>
          <w:sz w:val="20"/>
          <w:szCs w:val="20"/>
          <w:lang w:val="fr-FR"/>
        </w:rPr>
        <w:t>considered</w:t>
      </w:r>
      <w:proofErr w:type="spellEnd"/>
      <w:r w:rsidRPr="00227A76">
        <w:rPr>
          <w:rFonts w:ascii="Palatino Linotype" w:hAnsi="Palatino Linotype"/>
          <w:bCs/>
          <w:sz w:val="20"/>
          <w:szCs w:val="20"/>
          <w:lang w:val="fr-FR"/>
        </w:rPr>
        <w:t xml:space="preserve"> </w:t>
      </w:r>
      <w:proofErr w:type="spellStart"/>
      <w:r w:rsidRPr="00227A76">
        <w:rPr>
          <w:rFonts w:ascii="Palatino Linotype" w:hAnsi="Palatino Linotype"/>
          <w:bCs/>
          <w:sz w:val="20"/>
          <w:szCs w:val="20"/>
          <w:lang w:val="fr-FR"/>
        </w:rPr>
        <w:t>appropriate</w:t>
      </w:r>
      <w:proofErr w:type="spellEnd"/>
      <w:r w:rsidRPr="00227A76">
        <w:rPr>
          <w:rFonts w:ascii="Palatino Linotype" w:hAnsi="Palatino Linotype"/>
          <w:bCs/>
          <w:sz w:val="20"/>
          <w:szCs w:val="20"/>
          <w:lang w:val="fr-FR"/>
        </w:rPr>
        <w:t xml:space="preserve"> by </w:t>
      </w:r>
      <w:proofErr w:type="spellStart"/>
      <w:r w:rsidRPr="00227A76">
        <w:rPr>
          <w:rFonts w:ascii="Palatino Linotype" w:hAnsi="Palatino Linotype"/>
          <w:bCs/>
          <w:sz w:val="20"/>
          <w:szCs w:val="20"/>
          <w:lang w:val="fr-FR"/>
        </w:rPr>
        <w:t>users</w:t>
      </w:r>
      <w:proofErr w:type="spellEnd"/>
      <w:r w:rsidRPr="00227A76">
        <w:rPr>
          <w:rFonts w:ascii="Palatino Linotype" w:hAnsi="Palatino Linotype"/>
          <w:bCs/>
          <w:sz w:val="20"/>
          <w:szCs w:val="20"/>
          <w:lang w:val="fr-FR"/>
        </w:rPr>
        <w:t xml:space="preserve">. </w:t>
      </w:r>
      <w:proofErr w:type="spellStart"/>
      <w:r w:rsidRPr="00227A76">
        <w:rPr>
          <w:rFonts w:ascii="Palatino Linotype" w:hAnsi="Palatino Linotype"/>
          <w:bCs/>
          <w:sz w:val="20"/>
          <w:szCs w:val="20"/>
          <w:lang w:val="fr-FR"/>
        </w:rPr>
        <w:t>Users</w:t>
      </w:r>
      <w:proofErr w:type="spellEnd"/>
      <w:r w:rsidRPr="00227A76">
        <w:rPr>
          <w:rFonts w:ascii="Palatino Linotype" w:hAnsi="Palatino Linotype"/>
          <w:bCs/>
          <w:sz w:val="20"/>
          <w:szCs w:val="20"/>
          <w:lang w:val="fr-FR"/>
        </w:rPr>
        <w:t xml:space="preserve"> </w:t>
      </w:r>
      <w:proofErr w:type="spellStart"/>
      <w:r w:rsidRPr="00227A76">
        <w:rPr>
          <w:rFonts w:ascii="Palatino Linotype" w:hAnsi="Palatino Linotype"/>
          <w:bCs/>
          <w:sz w:val="20"/>
          <w:szCs w:val="20"/>
          <w:lang w:val="fr-FR"/>
        </w:rPr>
        <w:t>think</w:t>
      </w:r>
      <w:proofErr w:type="spellEnd"/>
      <w:r w:rsidRPr="00227A76">
        <w:rPr>
          <w:rFonts w:ascii="Palatino Linotype" w:hAnsi="Palatino Linotype"/>
          <w:bCs/>
          <w:sz w:val="20"/>
          <w:szCs w:val="20"/>
          <w:lang w:val="fr-FR"/>
        </w:rPr>
        <w:t xml:space="preserve"> </w:t>
      </w:r>
      <w:proofErr w:type="spellStart"/>
      <w:r w:rsidRPr="00227A76">
        <w:rPr>
          <w:rFonts w:ascii="Palatino Linotype" w:hAnsi="Palatino Linotype"/>
          <w:bCs/>
          <w:sz w:val="20"/>
          <w:szCs w:val="20"/>
          <w:lang w:val="fr-FR"/>
        </w:rPr>
        <w:t>that</w:t>
      </w:r>
      <w:proofErr w:type="spellEnd"/>
      <w:r w:rsidRPr="00227A76">
        <w:rPr>
          <w:rFonts w:ascii="Palatino Linotype" w:hAnsi="Palatino Linotype"/>
          <w:bCs/>
          <w:sz w:val="20"/>
          <w:szCs w:val="20"/>
          <w:lang w:val="fr-FR"/>
        </w:rPr>
        <w:t xml:space="preserve"> FinTech protection </w:t>
      </w:r>
      <w:proofErr w:type="spellStart"/>
      <w:r w:rsidRPr="00227A76">
        <w:rPr>
          <w:rFonts w:ascii="Palatino Linotype" w:hAnsi="Palatino Linotype"/>
          <w:bCs/>
          <w:sz w:val="20"/>
          <w:szCs w:val="20"/>
          <w:lang w:val="fr-FR"/>
        </w:rPr>
        <w:t>technology</w:t>
      </w:r>
      <w:proofErr w:type="spellEnd"/>
      <w:r w:rsidRPr="00227A76">
        <w:rPr>
          <w:rFonts w:ascii="Palatino Linotype" w:hAnsi="Palatino Linotype"/>
          <w:bCs/>
          <w:sz w:val="20"/>
          <w:szCs w:val="20"/>
          <w:lang w:val="fr-FR"/>
        </w:rPr>
        <w:t xml:space="preserve"> </w:t>
      </w:r>
      <w:proofErr w:type="spellStart"/>
      <w:r w:rsidRPr="00227A76">
        <w:rPr>
          <w:rFonts w:ascii="Palatino Linotype" w:hAnsi="Palatino Linotype"/>
          <w:bCs/>
          <w:sz w:val="20"/>
          <w:szCs w:val="20"/>
          <w:lang w:val="fr-FR"/>
        </w:rPr>
        <w:t>is</w:t>
      </w:r>
      <w:proofErr w:type="spellEnd"/>
      <w:r w:rsidRPr="00227A76">
        <w:rPr>
          <w:rFonts w:ascii="Palatino Linotype" w:hAnsi="Palatino Linotype"/>
          <w:bCs/>
          <w:sz w:val="20"/>
          <w:szCs w:val="20"/>
          <w:lang w:val="fr-FR"/>
        </w:rPr>
        <w:t xml:space="preserve"> not </w:t>
      </w:r>
      <w:proofErr w:type="spellStart"/>
      <w:r w:rsidRPr="00227A76">
        <w:rPr>
          <w:rFonts w:ascii="Palatino Linotype" w:hAnsi="Palatino Linotype"/>
          <w:bCs/>
          <w:sz w:val="20"/>
          <w:szCs w:val="20"/>
          <w:lang w:val="fr-FR"/>
        </w:rPr>
        <w:t>following</w:t>
      </w:r>
      <w:proofErr w:type="spellEnd"/>
      <w:r w:rsidRPr="00227A76">
        <w:rPr>
          <w:rFonts w:ascii="Palatino Linotype" w:hAnsi="Palatino Linotype"/>
          <w:bCs/>
          <w:sz w:val="20"/>
          <w:szCs w:val="20"/>
          <w:lang w:val="fr-FR"/>
        </w:rPr>
        <w:t xml:space="preserve"> the </w:t>
      </w:r>
      <w:proofErr w:type="spellStart"/>
      <w:r w:rsidRPr="00227A76">
        <w:rPr>
          <w:rFonts w:ascii="Palatino Linotype" w:hAnsi="Palatino Linotype"/>
          <w:bCs/>
          <w:sz w:val="20"/>
          <w:szCs w:val="20"/>
          <w:lang w:val="fr-FR"/>
        </w:rPr>
        <w:t>rules</w:t>
      </w:r>
      <w:proofErr w:type="spellEnd"/>
      <w:r w:rsidRPr="00227A76">
        <w:rPr>
          <w:rFonts w:ascii="Palatino Linotype" w:hAnsi="Palatino Linotype"/>
          <w:bCs/>
          <w:sz w:val="20"/>
          <w:szCs w:val="20"/>
          <w:lang w:val="fr-FR"/>
        </w:rPr>
        <w:t xml:space="preserve">, the </w:t>
      </w:r>
      <w:proofErr w:type="spellStart"/>
      <w:r w:rsidRPr="00227A76">
        <w:rPr>
          <w:rFonts w:ascii="Palatino Linotype" w:hAnsi="Palatino Linotype"/>
          <w:bCs/>
          <w:sz w:val="20"/>
          <w:szCs w:val="20"/>
          <w:lang w:val="fr-FR"/>
        </w:rPr>
        <w:t>loan</w:t>
      </w:r>
      <w:proofErr w:type="spellEnd"/>
      <w:r w:rsidRPr="00227A76">
        <w:rPr>
          <w:rFonts w:ascii="Palatino Linotype" w:hAnsi="Palatino Linotype"/>
          <w:bCs/>
          <w:sz w:val="20"/>
          <w:szCs w:val="20"/>
          <w:lang w:val="fr-FR"/>
        </w:rPr>
        <w:t xml:space="preserve"> process </w:t>
      </w:r>
      <w:proofErr w:type="spellStart"/>
      <w:r w:rsidRPr="00227A76">
        <w:rPr>
          <w:rFonts w:ascii="Palatino Linotype" w:hAnsi="Palatino Linotype"/>
          <w:bCs/>
          <w:sz w:val="20"/>
          <w:szCs w:val="20"/>
          <w:lang w:val="fr-FR"/>
        </w:rPr>
        <w:t>is</w:t>
      </w:r>
      <w:proofErr w:type="spellEnd"/>
      <w:r w:rsidRPr="00227A76">
        <w:rPr>
          <w:rFonts w:ascii="Palatino Linotype" w:hAnsi="Palatino Linotype"/>
          <w:bCs/>
          <w:sz w:val="20"/>
          <w:szCs w:val="20"/>
          <w:lang w:val="fr-FR"/>
        </w:rPr>
        <w:t xml:space="preserve"> </w:t>
      </w:r>
      <w:proofErr w:type="spellStart"/>
      <w:r w:rsidRPr="00227A76">
        <w:rPr>
          <w:rFonts w:ascii="Palatino Linotype" w:hAnsi="Palatino Linotype"/>
          <w:bCs/>
          <w:sz w:val="20"/>
          <w:szCs w:val="20"/>
          <w:lang w:val="fr-FR"/>
        </w:rPr>
        <w:t>still</w:t>
      </w:r>
      <w:proofErr w:type="spellEnd"/>
      <w:r w:rsidRPr="00227A76">
        <w:rPr>
          <w:rFonts w:ascii="Palatino Linotype" w:hAnsi="Palatino Linotype"/>
          <w:bCs/>
          <w:sz w:val="20"/>
          <w:szCs w:val="20"/>
          <w:lang w:val="fr-FR"/>
        </w:rPr>
        <w:t xml:space="preserve"> </w:t>
      </w:r>
      <w:proofErr w:type="spellStart"/>
      <w:r w:rsidRPr="00227A76">
        <w:rPr>
          <w:rFonts w:ascii="Palatino Linotype" w:hAnsi="Palatino Linotype"/>
          <w:bCs/>
          <w:sz w:val="20"/>
          <w:szCs w:val="20"/>
          <w:lang w:val="fr-FR"/>
        </w:rPr>
        <w:t>unclear</w:t>
      </w:r>
      <w:proofErr w:type="spellEnd"/>
      <w:r w:rsidRPr="00227A76">
        <w:rPr>
          <w:rFonts w:ascii="Palatino Linotype" w:hAnsi="Palatino Linotype"/>
          <w:bCs/>
          <w:sz w:val="20"/>
          <w:szCs w:val="20"/>
          <w:lang w:val="fr-FR"/>
        </w:rPr>
        <w:t xml:space="preserve">, and </w:t>
      </w:r>
      <w:proofErr w:type="spellStart"/>
      <w:r w:rsidRPr="00227A76">
        <w:rPr>
          <w:rFonts w:ascii="Palatino Linotype" w:hAnsi="Palatino Linotype"/>
          <w:bCs/>
          <w:sz w:val="20"/>
          <w:szCs w:val="20"/>
          <w:lang w:val="fr-FR"/>
        </w:rPr>
        <w:t>is</w:t>
      </w:r>
      <w:proofErr w:type="spellEnd"/>
      <w:r w:rsidRPr="00227A76">
        <w:rPr>
          <w:rFonts w:ascii="Palatino Linotype" w:hAnsi="Palatino Linotype"/>
          <w:bCs/>
          <w:sz w:val="20"/>
          <w:szCs w:val="20"/>
          <w:lang w:val="fr-FR"/>
        </w:rPr>
        <w:t xml:space="preserve"> not </w:t>
      </w:r>
      <w:proofErr w:type="spellStart"/>
      <w:r w:rsidRPr="00227A76">
        <w:rPr>
          <w:rFonts w:ascii="Palatino Linotype" w:hAnsi="Palatino Linotype"/>
          <w:bCs/>
          <w:sz w:val="20"/>
          <w:szCs w:val="20"/>
          <w:lang w:val="fr-FR"/>
        </w:rPr>
        <w:t>pursuing</w:t>
      </w:r>
      <w:proofErr w:type="spellEnd"/>
      <w:r w:rsidRPr="00227A76">
        <w:rPr>
          <w:rFonts w:ascii="Palatino Linotype" w:hAnsi="Palatino Linotype"/>
          <w:bCs/>
          <w:sz w:val="20"/>
          <w:szCs w:val="20"/>
          <w:lang w:val="fr-FR"/>
        </w:rPr>
        <w:t xml:space="preserve"> </w:t>
      </w:r>
      <w:proofErr w:type="spellStart"/>
      <w:r w:rsidRPr="00227A76">
        <w:rPr>
          <w:rFonts w:ascii="Palatino Linotype" w:hAnsi="Palatino Linotype"/>
          <w:bCs/>
          <w:sz w:val="20"/>
          <w:szCs w:val="20"/>
          <w:lang w:val="fr-FR"/>
        </w:rPr>
        <w:t>legal</w:t>
      </w:r>
      <w:proofErr w:type="spellEnd"/>
      <w:r w:rsidRPr="00227A76">
        <w:rPr>
          <w:rFonts w:ascii="Palatino Linotype" w:hAnsi="Palatino Linotype"/>
          <w:bCs/>
          <w:sz w:val="20"/>
          <w:szCs w:val="20"/>
          <w:lang w:val="fr-FR"/>
        </w:rPr>
        <w:t xml:space="preserve"> </w:t>
      </w:r>
      <w:proofErr w:type="spellStart"/>
      <w:r w:rsidRPr="00227A76">
        <w:rPr>
          <w:rFonts w:ascii="Palatino Linotype" w:hAnsi="Palatino Linotype"/>
          <w:bCs/>
          <w:sz w:val="20"/>
          <w:szCs w:val="20"/>
          <w:lang w:val="fr-FR"/>
        </w:rPr>
        <w:t>regulations</w:t>
      </w:r>
      <w:proofErr w:type="spellEnd"/>
      <w:r w:rsidRPr="00227A76">
        <w:rPr>
          <w:rFonts w:ascii="Palatino Linotype" w:hAnsi="Palatino Linotype"/>
          <w:bCs/>
          <w:sz w:val="20"/>
          <w:szCs w:val="20"/>
          <w:lang w:val="fr-FR"/>
        </w:rPr>
        <w:t xml:space="preserve">. Security </w:t>
      </w:r>
      <w:proofErr w:type="spellStart"/>
      <w:r w:rsidRPr="00227A76">
        <w:rPr>
          <w:rFonts w:ascii="Palatino Linotype" w:hAnsi="Palatino Linotype"/>
          <w:bCs/>
          <w:sz w:val="20"/>
          <w:szCs w:val="20"/>
          <w:lang w:val="fr-FR"/>
        </w:rPr>
        <w:t>incompatibilities</w:t>
      </w:r>
      <w:proofErr w:type="spellEnd"/>
      <w:r w:rsidRPr="00227A76">
        <w:rPr>
          <w:rFonts w:ascii="Palatino Linotype" w:hAnsi="Palatino Linotype"/>
          <w:bCs/>
          <w:sz w:val="20"/>
          <w:szCs w:val="20"/>
          <w:lang w:val="fr-FR"/>
        </w:rPr>
        <w:t xml:space="preserve"> cause </w:t>
      </w:r>
      <w:proofErr w:type="spellStart"/>
      <w:r w:rsidRPr="00227A76">
        <w:rPr>
          <w:rFonts w:ascii="Palatino Linotype" w:hAnsi="Palatino Linotype"/>
          <w:bCs/>
          <w:sz w:val="20"/>
          <w:szCs w:val="20"/>
          <w:lang w:val="fr-FR"/>
        </w:rPr>
        <w:t>users</w:t>
      </w:r>
      <w:proofErr w:type="spellEnd"/>
      <w:r w:rsidRPr="00227A76">
        <w:rPr>
          <w:rFonts w:ascii="Palatino Linotype" w:hAnsi="Palatino Linotype"/>
          <w:bCs/>
          <w:sz w:val="20"/>
          <w:szCs w:val="20"/>
          <w:lang w:val="fr-FR"/>
        </w:rPr>
        <w:t xml:space="preserve"> not to </w:t>
      </w:r>
      <w:proofErr w:type="spellStart"/>
      <w:r w:rsidRPr="00227A76">
        <w:rPr>
          <w:rFonts w:ascii="Palatino Linotype" w:hAnsi="Palatino Linotype"/>
          <w:bCs/>
          <w:sz w:val="20"/>
          <w:szCs w:val="20"/>
          <w:lang w:val="fr-FR"/>
        </w:rPr>
        <w:t>feel</w:t>
      </w:r>
      <w:proofErr w:type="spellEnd"/>
      <w:r w:rsidRPr="00227A76">
        <w:rPr>
          <w:rFonts w:ascii="Palatino Linotype" w:hAnsi="Palatino Linotype"/>
          <w:bCs/>
          <w:sz w:val="20"/>
          <w:szCs w:val="20"/>
          <w:lang w:val="fr-FR"/>
        </w:rPr>
        <w:t xml:space="preserve"> </w:t>
      </w:r>
      <w:proofErr w:type="spellStart"/>
      <w:r w:rsidRPr="00227A76">
        <w:rPr>
          <w:rFonts w:ascii="Palatino Linotype" w:hAnsi="Palatino Linotype"/>
          <w:bCs/>
          <w:sz w:val="20"/>
          <w:szCs w:val="20"/>
          <w:lang w:val="fr-FR"/>
        </w:rPr>
        <w:t>secure</w:t>
      </w:r>
      <w:proofErr w:type="spellEnd"/>
      <w:r w:rsidRPr="00227A76">
        <w:rPr>
          <w:rFonts w:ascii="Palatino Linotype" w:hAnsi="Palatino Linotype"/>
          <w:bCs/>
          <w:sz w:val="20"/>
          <w:szCs w:val="20"/>
          <w:lang w:val="fr-FR"/>
        </w:rPr>
        <w:t xml:space="preserve"> </w:t>
      </w:r>
      <w:proofErr w:type="spellStart"/>
      <w:r w:rsidRPr="00227A76">
        <w:rPr>
          <w:rFonts w:ascii="Palatino Linotype" w:hAnsi="Palatino Linotype"/>
          <w:bCs/>
          <w:sz w:val="20"/>
          <w:szCs w:val="20"/>
          <w:lang w:val="fr-FR"/>
        </w:rPr>
        <w:t>when</w:t>
      </w:r>
      <w:proofErr w:type="spellEnd"/>
      <w:r w:rsidRPr="00227A76">
        <w:rPr>
          <w:rFonts w:ascii="Palatino Linotype" w:hAnsi="Palatino Linotype"/>
          <w:bCs/>
          <w:sz w:val="20"/>
          <w:szCs w:val="20"/>
          <w:lang w:val="fr-FR"/>
        </w:rPr>
        <w:t xml:space="preserve"> </w:t>
      </w:r>
      <w:proofErr w:type="spellStart"/>
      <w:r w:rsidRPr="00227A76">
        <w:rPr>
          <w:rFonts w:ascii="Palatino Linotype" w:hAnsi="Palatino Linotype"/>
          <w:bCs/>
          <w:sz w:val="20"/>
          <w:szCs w:val="20"/>
          <w:lang w:val="fr-FR"/>
        </w:rPr>
        <w:t>making</w:t>
      </w:r>
      <w:proofErr w:type="spellEnd"/>
      <w:r w:rsidRPr="00227A76">
        <w:rPr>
          <w:rFonts w:ascii="Palatino Linotype" w:hAnsi="Palatino Linotype"/>
          <w:bCs/>
          <w:sz w:val="20"/>
          <w:szCs w:val="20"/>
          <w:lang w:val="fr-FR"/>
        </w:rPr>
        <w:t xml:space="preserve"> </w:t>
      </w:r>
      <w:proofErr w:type="spellStart"/>
      <w:r w:rsidRPr="00227A76">
        <w:rPr>
          <w:rFonts w:ascii="Palatino Linotype" w:hAnsi="Palatino Linotype"/>
          <w:bCs/>
          <w:sz w:val="20"/>
          <w:szCs w:val="20"/>
          <w:lang w:val="fr-FR"/>
        </w:rPr>
        <w:t>loan</w:t>
      </w:r>
      <w:proofErr w:type="spellEnd"/>
      <w:r w:rsidRPr="00227A76">
        <w:rPr>
          <w:rFonts w:ascii="Palatino Linotype" w:hAnsi="Palatino Linotype"/>
          <w:bCs/>
          <w:sz w:val="20"/>
          <w:szCs w:val="20"/>
          <w:lang w:val="fr-FR"/>
        </w:rPr>
        <w:t xml:space="preserve"> transactions. </w:t>
      </w:r>
      <w:proofErr w:type="spellStart"/>
      <w:r w:rsidRPr="00227A76">
        <w:rPr>
          <w:rFonts w:ascii="Palatino Linotype" w:hAnsi="Palatino Linotype"/>
          <w:bCs/>
          <w:sz w:val="20"/>
          <w:szCs w:val="20"/>
          <w:lang w:val="fr-FR"/>
        </w:rPr>
        <w:t>Users</w:t>
      </w:r>
      <w:proofErr w:type="spellEnd"/>
      <w:r w:rsidRPr="00227A76">
        <w:rPr>
          <w:rFonts w:ascii="Palatino Linotype" w:hAnsi="Palatino Linotype"/>
          <w:bCs/>
          <w:sz w:val="20"/>
          <w:szCs w:val="20"/>
          <w:lang w:val="fr-FR"/>
        </w:rPr>
        <w:t xml:space="preserve"> </w:t>
      </w:r>
      <w:proofErr w:type="spellStart"/>
      <w:r w:rsidRPr="00227A76">
        <w:rPr>
          <w:rFonts w:ascii="Palatino Linotype" w:hAnsi="Palatino Linotype"/>
          <w:bCs/>
          <w:sz w:val="20"/>
          <w:szCs w:val="20"/>
          <w:lang w:val="fr-FR"/>
        </w:rPr>
        <w:t>also</w:t>
      </w:r>
      <w:proofErr w:type="spellEnd"/>
      <w:r w:rsidRPr="00227A76">
        <w:rPr>
          <w:rFonts w:ascii="Palatino Linotype" w:hAnsi="Palatino Linotype"/>
          <w:bCs/>
          <w:sz w:val="20"/>
          <w:szCs w:val="20"/>
          <w:lang w:val="fr-FR"/>
        </w:rPr>
        <w:t xml:space="preserve"> do not </w:t>
      </w:r>
      <w:proofErr w:type="spellStart"/>
      <w:r w:rsidRPr="00227A76">
        <w:rPr>
          <w:rFonts w:ascii="Palatino Linotype" w:hAnsi="Palatino Linotype"/>
          <w:bCs/>
          <w:sz w:val="20"/>
          <w:szCs w:val="20"/>
          <w:lang w:val="fr-FR"/>
        </w:rPr>
        <w:t>think</w:t>
      </w:r>
      <w:proofErr w:type="spellEnd"/>
      <w:r w:rsidRPr="00227A76">
        <w:rPr>
          <w:rFonts w:ascii="Palatino Linotype" w:hAnsi="Palatino Linotype"/>
          <w:bCs/>
          <w:sz w:val="20"/>
          <w:szCs w:val="20"/>
          <w:lang w:val="fr-FR"/>
        </w:rPr>
        <w:t xml:space="preserve"> of </w:t>
      </w:r>
      <w:proofErr w:type="spellStart"/>
      <w:r w:rsidRPr="00227A76">
        <w:rPr>
          <w:rFonts w:ascii="Palatino Linotype" w:hAnsi="Palatino Linotype"/>
          <w:bCs/>
          <w:sz w:val="20"/>
          <w:szCs w:val="20"/>
          <w:lang w:val="fr-FR"/>
        </w:rPr>
        <w:t>any</w:t>
      </w:r>
      <w:proofErr w:type="spellEnd"/>
      <w:r w:rsidRPr="00227A76">
        <w:rPr>
          <w:rFonts w:ascii="Palatino Linotype" w:hAnsi="Palatino Linotype"/>
          <w:bCs/>
          <w:sz w:val="20"/>
          <w:szCs w:val="20"/>
          <w:lang w:val="fr-FR"/>
        </w:rPr>
        <w:t xml:space="preserve"> trust in the FinTech </w:t>
      </w:r>
      <w:proofErr w:type="spellStart"/>
      <w:r w:rsidRPr="00227A76">
        <w:rPr>
          <w:rFonts w:ascii="Palatino Linotype" w:hAnsi="Palatino Linotype"/>
          <w:bCs/>
          <w:sz w:val="20"/>
          <w:szCs w:val="20"/>
          <w:lang w:val="fr-FR"/>
        </w:rPr>
        <w:t>Lending</w:t>
      </w:r>
      <w:proofErr w:type="spellEnd"/>
      <w:r w:rsidRPr="00227A76">
        <w:rPr>
          <w:rFonts w:ascii="Palatino Linotype" w:hAnsi="Palatino Linotype"/>
          <w:bCs/>
          <w:sz w:val="20"/>
          <w:szCs w:val="20"/>
          <w:lang w:val="fr-FR"/>
        </w:rPr>
        <w:t xml:space="preserve"> service provider </w:t>
      </w:r>
      <w:proofErr w:type="spellStart"/>
      <w:r w:rsidRPr="00227A76">
        <w:rPr>
          <w:rFonts w:ascii="Palatino Linotype" w:hAnsi="Palatino Linotype"/>
          <w:bCs/>
          <w:sz w:val="20"/>
          <w:szCs w:val="20"/>
          <w:lang w:val="fr-FR"/>
        </w:rPr>
        <w:t>because</w:t>
      </w:r>
      <w:proofErr w:type="spellEnd"/>
      <w:r w:rsidRPr="00227A76">
        <w:rPr>
          <w:rFonts w:ascii="Palatino Linotype" w:hAnsi="Palatino Linotype"/>
          <w:bCs/>
          <w:sz w:val="20"/>
          <w:szCs w:val="20"/>
          <w:lang w:val="fr-FR"/>
        </w:rPr>
        <w:t xml:space="preserve"> </w:t>
      </w:r>
      <w:proofErr w:type="spellStart"/>
      <w:r w:rsidRPr="00227A76">
        <w:rPr>
          <w:rFonts w:ascii="Palatino Linotype" w:hAnsi="Palatino Linotype"/>
          <w:bCs/>
          <w:sz w:val="20"/>
          <w:szCs w:val="20"/>
          <w:lang w:val="fr-FR"/>
        </w:rPr>
        <w:t>users</w:t>
      </w:r>
      <w:proofErr w:type="spellEnd"/>
      <w:r w:rsidRPr="00227A76">
        <w:rPr>
          <w:rFonts w:ascii="Palatino Linotype" w:hAnsi="Palatino Linotype"/>
          <w:bCs/>
          <w:sz w:val="20"/>
          <w:szCs w:val="20"/>
          <w:lang w:val="fr-FR"/>
        </w:rPr>
        <w:t xml:space="preserve"> </w:t>
      </w:r>
      <w:proofErr w:type="spellStart"/>
      <w:r w:rsidRPr="00227A76">
        <w:rPr>
          <w:rFonts w:ascii="Palatino Linotype" w:hAnsi="Palatino Linotype"/>
          <w:bCs/>
          <w:sz w:val="20"/>
          <w:szCs w:val="20"/>
          <w:lang w:val="fr-FR"/>
        </w:rPr>
        <w:t>feel</w:t>
      </w:r>
      <w:proofErr w:type="spellEnd"/>
      <w:r w:rsidRPr="00227A76">
        <w:rPr>
          <w:rFonts w:ascii="Palatino Linotype" w:hAnsi="Palatino Linotype"/>
          <w:bCs/>
          <w:sz w:val="20"/>
          <w:szCs w:val="20"/>
          <w:lang w:val="fr-FR"/>
        </w:rPr>
        <w:t xml:space="preserve"> </w:t>
      </w:r>
      <w:proofErr w:type="spellStart"/>
      <w:r w:rsidRPr="00227A76">
        <w:rPr>
          <w:rFonts w:ascii="Palatino Linotype" w:hAnsi="Palatino Linotype"/>
          <w:bCs/>
          <w:sz w:val="20"/>
          <w:szCs w:val="20"/>
          <w:lang w:val="fr-FR"/>
        </w:rPr>
        <w:t>that</w:t>
      </w:r>
      <w:proofErr w:type="spellEnd"/>
      <w:r w:rsidRPr="00227A76">
        <w:rPr>
          <w:rFonts w:ascii="Palatino Linotype" w:hAnsi="Palatino Linotype"/>
          <w:bCs/>
          <w:sz w:val="20"/>
          <w:szCs w:val="20"/>
          <w:lang w:val="fr-FR"/>
        </w:rPr>
        <w:t xml:space="preserve"> the service provider has not </w:t>
      </w:r>
      <w:proofErr w:type="spellStart"/>
      <w:r w:rsidRPr="00227A76">
        <w:rPr>
          <w:rFonts w:ascii="Palatino Linotype" w:hAnsi="Palatino Linotype"/>
          <w:bCs/>
          <w:sz w:val="20"/>
          <w:szCs w:val="20"/>
          <w:lang w:val="fr-FR"/>
        </w:rPr>
        <w:t>fully</w:t>
      </w:r>
      <w:proofErr w:type="spellEnd"/>
      <w:r w:rsidRPr="00227A76">
        <w:rPr>
          <w:rFonts w:ascii="Palatino Linotype" w:hAnsi="Palatino Linotype"/>
          <w:bCs/>
          <w:sz w:val="20"/>
          <w:szCs w:val="20"/>
          <w:lang w:val="fr-FR"/>
        </w:rPr>
        <w:t xml:space="preserve"> </w:t>
      </w:r>
      <w:proofErr w:type="spellStart"/>
      <w:r w:rsidRPr="00227A76">
        <w:rPr>
          <w:rFonts w:ascii="Palatino Linotype" w:hAnsi="Palatino Linotype"/>
          <w:bCs/>
          <w:sz w:val="20"/>
          <w:szCs w:val="20"/>
          <w:lang w:val="fr-FR"/>
        </w:rPr>
        <w:t>fulfilled</w:t>
      </w:r>
      <w:proofErr w:type="spellEnd"/>
      <w:r w:rsidRPr="00227A76">
        <w:rPr>
          <w:rFonts w:ascii="Palatino Linotype" w:hAnsi="Palatino Linotype"/>
          <w:bCs/>
          <w:sz w:val="20"/>
          <w:szCs w:val="20"/>
          <w:lang w:val="fr-FR"/>
        </w:rPr>
        <w:t xml:space="preserve"> </w:t>
      </w:r>
      <w:proofErr w:type="spellStart"/>
      <w:r w:rsidRPr="00227A76">
        <w:rPr>
          <w:rFonts w:ascii="Palatino Linotype" w:hAnsi="Palatino Linotype"/>
          <w:bCs/>
          <w:sz w:val="20"/>
          <w:szCs w:val="20"/>
          <w:lang w:val="fr-FR"/>
        </w:rPr>
        <w:t>its</w:t>
      </w:r>
      <w:proofErr w:type="spellEnd"/>
      <w:r w:rsidRPr="00227A76">
        <w:rPr>
          <w:rFonts w:ascii="Palatino Linotype" w:hAnsi="Palatino Linotype"/>
          <w:bCs/>
          <w:sz w:val="20"/>
          <w:szCs w:val="20"/>
          <w:lang w:val="fr-FR"/>
        </w:rPr>
        <w:t xml:space="preserve"> promises. </w:t>
      </w:r>
      <w:proofErr w:type="spellStart"/>
      <w:r w:rsidRPr="00227A76">
        <w:rPr>
          <w:rFonts w:ascii="Palatino Linotype" w:hAnsi="Palatino Linotype"/>
          <w:bCs/>
          <w:sz w:val="20"/>
          <w:szCs w:val="20"/>
          <w:lang w:val="fr-FR"/>
        </w:rPr>
        <w:t>Also</w:t>
      </w:r>
      <w:proofErr w:type="spellEnd"/>
      <w:r w:rsidRPr="00227A76">
        <w:rPr>
          <w:rFonts w:ascii="Palatino Linotype" w:hAnsi="Palatino Linotype"/>
          <w:bCs/>
          <w:sz w:val="20"/>
          <w:szCs w:val="20"/>
          <w:lang w:val="fr-FR"/>
        </w:rPr>
        <w:t xml:space="preserve">, </w:t>
      </w:r>
      <w:proofErr w:type="spellStart"/>
      <w:r w:rsidRPr="00227A76">
        <w:rPr>
          <w:rFonts w:ascii="Palatino Linotype" w:hAnsi="Palatino Linotype"/>
          <w:bCs/>
          <w:sz w:val="20"/>
          <w:szCs w:val="20"/>
          <w:lang w:val="fr-FR"/>
        </w:rPr>
        <w:t>users</w:t>
      </w:r>
      <w:proofErr w:type="spellEnd"/>
      <w:r w:rsidRPr="00227A76">
        <w:rPr>
          <w:rFonts w:ascii="Palatino Linotype" w:hAnsi="Palatino Linotype"/>
          <w:bCs/>
          <w:sz w:val="20"/>
          <w:szCs w:val="20"/>
          <w:lang w:val="fr-FR"/>
        </w:rPr>
        <w:t xml:space="preserve"> </w:t>
      </w:r>
      <w:proofErr w:type="spellStart"/>
      <w:r w:rsidRPr="00227A76">
        <w:rPr>
          <w:rFonts w:ascii="Palatino Linotype" w:hAnsi="Palatino Linotype"/>
          <w:bCs/>
          <w:sz w:val="20"/>
          <w:szCs w:val="20"/>
          <w:lang w:val="fr-FR"/>
        </w:rPr>
        <w:t>think</w:t>
      </w:r>
      <w:proofErr w:type="spellEnd"/>
      <w:r w:rsidRPr="00227A76">
        <w:rPr>
          <w:rFonts w:ascii="Palatino Linotype" w:hAnsi="Palatino Linotype"/>
          <w:bCs/>
          <w:sz w:val="20"/>
          <w:szCs w:val="20"/>
          <w:lang w:val="fr-FR"/>
        </w:rPr>
        <w:t xml:space="preserve"> </w:t>
      </w:r>
      <w:proofErr w:type="spellStart"/>
      <w:r w:rsidRPr="00227A76">
        <w:rPr>
          <w:rFonts w:ascii="Palatino Linotype" w:hAnsi="Palatino Linotype"/>
          <w:bCs/>
          <w:sz w:val="20"/>
          <w:szCs w:val="20"/>
          <w:lang w:val="fr-FR"/>
        </w:rPr>
        <w:t>that</w:t>
      </w:r>
      <w:proofErr w:type="spellEnd"/>
      <w:r w:rsidRPr="00227A76">
        <w:rPr>
          <w:rFonts w:ascii="Palatino Linotype" w:hAnsi="Palatino Linotype"/>
          <w:bCs/>
          <w:sz w:val="20"/>
          <w:szCs w:val="20"/>
          <w:lang w:val="fr-FR"/>
        </w:rPr>
        <w:t xml:space="preserve"> service providers are not </w:t>
      </w:r>
      <w:proofErr w:type="spellStart"/>
      <w:r w:rsidRPr="00227A76">
        <w:rPr>
          <w:rFonts w:ascii="Palatino Linotype" w:hAnsi="Palatino Linotype"/>
          <w:bCs/>
          <w:sz w:val="20"/>
          <w:szCs w:val="20"/>
          <w:lang w:val="fr-FR"/>
        </w:rPr>
        <w:t>yet</w:t>
      </w:r>
      <w:proofErr w:type="spellEnd"/>
      <w:r w:rsidRPr="00227A76">
        <w:rPr>
          <w:rFonts w:ascii="Palatino Linotype" w:hAnsi="Palatino Linotype"/>
          <w:bCs/>
          <w:sz w:val="20"/>
          <w:szCs w:val="20"/>
          <w:lang w:val="fr-FR"/>
        </w:rPr>
        <w:t xml:space="preserve"> </w:t>
      </w:r>
      <w:proofErr w:type="spellStart"/>
      <w:r w:rsidRPr="00227A76">
        <w:rPr>
          <w:rFonts w:ascii="Palatino Linotype" w:hAnsi="Palatino Linotype"/>
          <w:bCs/>
          <w:sz w:val="20"/>
          <w:szCs w:val="20"/>
          <w:lang w:val="fr-FR"/>
        </w:rPr>
        <w:t>competent</w:t>
      </w:r>
      <w:proofErr w:type="spellEnd"/>
      <w:r w:rsidRPr="00227A76">
        <w:rPr>
          <w:rFonts w:ascii="Palatino Linotype" w:hAnsi="Palatino Linotype"/>
          <w:bCs/>
          <w:sz w:val="20"/>
          <w:szCs w:val="20"/>
          <w:lang w:val="fr-FR"/>
        </w:rPr>
        <w:t xml:space="preserve"> and effective in </w:t>
      </w:r>
      <w:proofErr w:type="spellStart"/>
      <w:r w:rsidRPr="00227A76">
        <w:rPr>
          <w:rFonts w:ascii="Palatino Linotype" w:hAnsi="Palatino Linotype"/>
          <w:bCs/>
          <w:sz w:val="20"/>
          <w:szCs w:val="20"/>
          <w:lang w:val="fr-FR"/>
        </w:rPr>
        <w:t>providing</w:t>
      </w:r>
      <w:proofErr w:type="spellEnd"/>
      <w:r w:rsidRPr="00227A76">
        <w:rPr>
          <w:rFonts w:ascii="Palatino Linotype" w:hAnsi="Palatino Linotype"/>
          <w:bCs/>
          <w:sz w:val="20"/>
          <w:szCs w:val="20"/>
          <w:lang w:val="fr-FR"/>
        </w:rPr>
        <w:t xml:space="preserve"> </w:t>
      </w:r>
      <w:proofErr w:type="spellStart"/>
      <w:r w:rsidRPr="00227A76">
        <w:rPr>
          <w:rFonts w:ascii="Palatino Linotype" w:hAnsi="Palatino Linotype"/>
          <w:bCs/>
          <w:sz w:val="20"/>
          <w:szCs w:val="20"/>
          <w:lang w:val="fr-FR"/>
        </w:rPr>
        <w:t>financial</w:t>
      </w:r>
      <w:proofErr w:type="spellEnd"/>
      <w:r w:rsidRPr="00227A76">
        <w:rPr>
          <w:rFonts w:ascii="Palatino Linotype" w:hAnsi="Palatino Linotype"/>
          <w:bCs/>
          <w:sz w:val="20"/>
          <w:szCs w:val="20"/>
          <w:lang w:val="fr-FR"/>
        </w:rPr>
        <w:t xml:space="preserve"> services. </w:t>
      </w:r>
      <w:proofErr w:type="spellStart"/>
      <w:r w:rsidRPr="00227A76">
        <w:rPr>
          <w:rFonts w:ascii="Palatino Linotype" w:hAnsi="Palatino Linotype"/>
          <w:bCs/>
          <w:sz w:val="20"/>
          <w:szCs w:val="20"/>
          <w:lang w:val="fr-FR"/>
        </w:rPr>
        <w:t>Users</w:t>
      </w:r>
      <w:proofErr w:type="spellEnd"/>
      <w:r w:rsidRPr="00227A76">
        <w:rPr>
          <w:rFonts w:ascii="Palatino Linotype" w:hAnsi="Palatino Linotype"/>
          <w:bCs/>
          <w:sz w:val="20"/>
          <w:szCs w:val="20"/>
          <w:lang w:val="fr-FR"/>
        </w:rPr>
        <w:t xml:space="preserve"> </w:t>
      </w:r>
      <w:proofErr w:type="spellStart"/>
      <w:r w:rsidRPr="00227A76">
        <w:rPr>
          <w:rFonts w:ascii="Palatino Linotype" w:hAnsi="Palatino Linotype"/>
          <w:bCs/>
          <w:sz w:val="20"/>
          <w:szCs w:val="20"/>
          <w:lang w:val="fr-FR"/>
        </w:rPr>
        <w:t>believe</w:t>
      </w:r>
      <w:proofErr w:type="spellEnd"/>
      <w:r w:rsidRPr="00227A76">
        <w:rPr>
          <w:rFonts w:ascii="Palatino Linotype" w:hAnsi="Palatino Linotype"/>
          <w:bCs/>
          <w:sz w:val="20"/>
          <w:szCs w:val="20"/>
          <w:lang w:val="fr-FR"/>
        </w:rPr>
        <w:t xml:space="preserve"> </w:t>
      </w:r>
      <w:proofErr w:type="spellStart"/>
      <w:r w:rsidRPr="00227A76">
        <w:rPr>
          <w:rFonts w:ascii="Palatino Linotype" w:hAnsi="Palatino Linotype"/>
          <w:bCs/>
          <w:sz w:val="20"/>
          <w:szCs w:val="20"/>
          <w:lang w:val="fr-FR"/>
        </w:rPr>
        <w:t>that</w:t>
      </w:r>
      <w:proofErr w:type="spellEnd"/>
      <w:r w:rsidRPr="00227A76">
        <w:rPr>
          <w:rFonts w:ascii="Palatino Linotype" w:hAnsi="Palatino Linotype"/>
          <w:bCs/>
          <w:sz w:val="20"/>
          <w:szCs w:val="20"/>
          <w:lang w:val="fr-FR"/>
        </w:rPr>
        <w:t xml:space="preserve"> the </w:t>
      </w:r>
      <w:proofErr w:type="spellStart"/>
      <w:r w:rsidRPr="00227A76">
        <w:rPr>
          <w:rFonts w:ascii="Palatino Linotype" w:hAnsi="Palatino Linotype"/>
          <w:bCs/>
          <w:sz w:val="20"/>
          <w:szCs w:val="20"/>
          <w:lang w:val="fr-FR"/>
        </w:rPr>
        <w:t>loan</w:t>
      </w:r>
      <w:proofErr w:type="spellEnd"/>
      <w:r w:rsidRPr="00227A76">
        <w:rPr>
          <w:rFonts w:ascii="Palatino Linotype" w:hAnsi="Palatino Linotype"/>
          <w:bCs/>
          <w:sz w:val="20"/>
          <w:szCs w:val="20"/>
          <w:lang w:val="fr-FR"/>
        </w:rPr>
        <w:t xml:space="preserve"> </w:t>
      </w:r>
      <w:proofErr w:type="spellStart"/>
      <w:r w:rsidRPr="00227A76">
        <w:rPr>
          <w:rFonts w:ascii="Palatino Linotype" w:hAnsi="Palatino Linotype"/>
          <w:bCs/>
          <w:sz w:val="20"/>
          <w:szCs w:val="20"/>
          <w:lang w:val="fr-FR"/>
        </w:rPr>
        <w:t>amount</w:t>
      </w:r>
      <w:proofErr w:type="spellEnd"/>
      <w:r w:rsidRPr="00227A76">
        <w:rPr>
          <w:rFonts w:ascii="Palatino Linotype" w:hAnsi="Palatino Linotype"/>
          <w:bCs/>
          <w:sz w:val="20"/>
          <w:szCs w:val="20"/>
          <w:lang w:val="fr-FR"/>
        </w:rPr>
        <w:t xml:space="preserve"> </w:t>
      </w:r>
      <w:proofErr w:type="spellStart"/>
      <w:r w:rsidRPr="00227A76">
        <w:rPr>
          <w:rFonts w:ascii="Palatino Linotype" w:hAnsi="Palatino Linotype"/>
          <w:bCs/>
          <w:sz w:val="20"/>
          <w:szCs w:val="20"/>
          <w:lang w:val="fr-FR"/>
        </w:rPr>
        <w:t>submitted</w:t>
      </w:r>
      <w:proofErr w:type="spellEnd"/>
      <w:r w:rsidRPr="00227A76">
        <w:rPr>
          <w:rFonts w:ascii="Palatino Linotype" w:hAnsi="Palatino Linotype"/>
          <w:bCs/>
          <w:sz w:val="20"/>
          <w:szCs w:val="20"/>
          <w:lang w:val="fr-FR"/>
        </w:rPr>
        <w:t xml:space="preserve"> </w:t>
      </w:r>
      <w:proofErr w:type="spellStart"/>
      <w:r w:rsidRPr="00227A76">
        <w:rPr>
          <w:rFonts w:ascii="Palatino Linotype" w:hAnsi="Palatino Linotype"/>
          <w:bCs/>
          <w:sz w:val="20"/>
          <w:szCs w:val="20"/>
          <w:lang w:val="fr-FR"/>
        </w:rPr>
        <w:t>through</w:t>
      </w:r>
      <w:proofErr w:type="spellEnd"/>
      <w:r w:rsidRPr="00227A76">
        <w:rPr>
          <w:rFonts w:ascii="Palatino Linotype" w:hAnsi="Palatino Linotype"/>
          <w:bCs/>
          <w:sz w:val="20"/>
          <w:szCs w:val="20"/>
          <w:lang w:val="fr-FR"/>
        </w:rPr>
        <w:t xml:space="preserve"> the FinTech </w:t>
      </w:r>
      <w:proofErr w:type="spellStart"/>
      <w:r w:rsidRPr="00227A76">
        <w:rPr>
          <w:rFonts w:ascii="Palatino Linotype" w:hAnsi="Palatino Linotype"/>
          <w:bCs/>
          <w:sz w:val="20"/>
          <w:szCs w:val="20"/>
          <w:lang w:val="fr-FR"/>
        </w:rPr>
        <w:t>Lending</w:t>
      </w:r>
      <w:proofErr w:type="spellEnd"/>
      <w:r w:rsidRPr="00227A76">
        <w:rPr>
          <w:rFonts w:ascii="Palatino Linotype" w:hAnsi="Palatino Linotype"/>
          <w:bCs/>
          <w:sz w:val="20"/>
          <w:szCs w:val="20"/>
          <w:lang w:val="fr-FR"/>
        </w:rPr>
        <w:t xml:space="preserve"> service must </w:t>
      </w:r>
      <w:proofErr w:type="spellStart"/>
      <w:r w:rsidRPr="00227A76">
        <w:rPr>
          <w:rFonts w:ascii="Palatino Linotype" w:hAnsi="Palatino Linotype"/>
          <w:bCs/>
          <w:sz w:val="20"/>
          <w:szCs w:val="20"/>
          <w:lang w:val="fr-FR"/>
        </w:rPr>
        <w:t>be</w:t>
      </w:r>
      <w:proofErr w:type="spellEnd"/>
      <w:r w:rsidRPr="00227A76">
        <w:rPr>
          <w:rFonts w:ascii="Palatino Linotype" w:hAnsi="Palatino Linotype"/>
          <w:bCs/>
          <w:sz w:val="20"/>
          <w:szCs w:val="20"/>
          <w:lang w:val="fr-FR"/>
        </w:rPr>
        <w:t xml:space="preserve"> </w:t>
      </w:r>
      <w:proofErr w:type="spellStart"/>
      <w:r w:rsidRPr="00227A76">
        <w:rPr>
          <w:rFonts w:ascii="Palatino Linotype" w:hAnsi="Palatino Linotype"/>
          <w:bCs/>
          <w:sz w:val="20"/>
          <w:szCs w:val="20"/>
          <w:lang w:val="fr-FR"/>
        </w:rPr>
        <w:t>monitored</w:t>
      </w:r>
      <w:proofErr w:type="spellEnd"/>
      <w:r w:rsidRPr="00227A76">
        <w:rPr>
          <w:rFonts w:ascii="Palatino Linotype" w:hAnsi="Palatino Linotype"/>
          <w:bCs/>
          <w:sz w:val="20"/>
          <w:szCs w:val="20"/>
          <w:lang w:val="fr-FR"/>
        </w:rPr>
        <w:t xml:space="preserve"> </w:t>
      </w:r>
      <w:proofErr w:type="spellStart"/>
      <w:r w:rsidRPr="00227A76">
        <w:rPr>
          <w:rFonts w:ascii="Palatino Linotype" w:hAnsi="Palatino Linotype"/>
          <w:bCs/>
          <w:sz w:val="20"/>
          <w:szCs w:val="20"/>
          <w:lang w:val="fr-FR"/>
        </w:rPr>
        <w:t>regularly</w:t>
      </w:r>
      <w:proofErr w:type="spellEnd"/>
      <w:r w:rsidRPr="00227A76">
        <w:rPr>
          <w:rFonts w:ascii="Palatino Linotype" w:hAnsi="Palatino Linotype"/>
          <w:bCs/>
          <w:sz w:val="20"/>
          <w:szCs w:val="20"/>
          <w:lang w:val="fr-FR"/>
        </w:rPr>
        <w:t xml:space="preserve"> to </w:t>
      </w:r>
      <w:proofErr w:type="spellStart"/>
      <w:r w:rsidRPr="00227A76">
        <w:rPr>
          <w:rFonts w:ascii="Palatino Linotype" w:hAnsi="Palatino Linotype"/>
          <w:bCs/>
          <w:sz w:val="20"/>
          <w:szCs w:val="20"/>
          <w:lang w:val="fr-FR"/>
        </w:rPr>
        <w:t>ensure</w:t>
      </w:r>
      <w:proofErr w:type="spellEnd"/>
      <w:r w:rsidRPr="00227A76">
        <w:rPr>
          <w:rFonts w:ascii="Palatino Linotype" w:hAnsi="Palatino Linotype"/>
          <w:bCs/>
          <w:sz w:val="20"/>
          <w:szCs w:val="20"/>
          <w:lang w:val="fr-FR"/>
        </w:rPr>
        <w:t xml:space="preserve"> </w:t>
      </w:r>
      <w:proofErr w:type="spellStart"/>
      <w:r w:rsidRPr="00227A76">
        <w:rPr>
          <w:rFonts w:ascii="Palatino Linotype" w:hAnsi="Palatino Linotype"/>
          <w:bCs/>
          <w:sz w:val="20"/>
          <w:szCs w:val="20"/>
          <w:lang w:val="fr-FR"/>
        </w:rPr>
        <w:t>there</w:t>
      </w:r>
      <w:proofErr w:type="spellEnd"/>
      <w:r w:rsidRPr="00227A76">
        <w:rPr>
          <w:rFonts w:ascii="Palatino Linotype" w:hAnsi="Palatino Linotype"/>
          <w:bCs/>
          <w:sz w:val="20"/>
          <w:szCs w:val="20"/>
          <w:lang w:val="fr-FR"/>
        </w:rPr>
        <w:t xml:space="preserve"> are no </w:t>
      </w:r>
      <w:proofErr w:type="spellStart"/>
      <w:r w:rsidRPr="00227A76">
        <w:rPr>
          <w:rFonts w:ascii="Palatino Linotype" w:hAnsi="Palatino Linotype"/>
          <w:bCs/>
          <w:sz w:val="20"/>
          <w:szCs w:val="20"/>
          <w:lang w:val="fr-FR"/>
        </w:rPr>
        <w:t>recording</w:t>
      </w:r>
      <w:proofErr w:type="spellEnd"/>
      <w:r w:rsidRPr="00227A76">
        <w:rPr>
          <w:rFonts w:ascii="Palatino Linotype" w:hAnsi="Palatino Linotype"/>
          <w:bCs/>
          <w:sz w:val="20"/>
          <w:szCs w:val="20"/>
          <w:lang w:val="fr-FR"/>
        </w:rPr>
        <w:t xml:space="preserve"> </w:t>
      </w:r>
      <w:proofErr w:type="spellStart"/>
      <w:r w:rsidRPr="00227A76">
        <w:rPr>
          <w:rFonts w:ascii="Palatino Linotype" w:hAnsi="Palatino Linotype"/>
          <w:bCs/>
          <w:sz w:val="20"/>
          <w:szCs w:val="20"/>
          <w:lang w:val="fr-FR"/>
        </w:rPr>
        <w:t>errors</w:t>
      </w:r>
      <w:proofErr w:type="spellEnd"/>
      <w:r w:rsidRPr="00227A76">
        <w:rPr>
          <w:rFonts w:ascii="Palatino Linotype" w:hAnsi="Palatino Linotype"/>
          <w:bCs/>
          <w:sz w:val="20"/>
          <w:szCs w:val="20"/>
          <w:lang w:val="fr-FR"/>
        </w:rPr>
        <w:t xml:space="preserve"> on the platform. </w:t>
      </w:r>
      <w:proofErr w:type="spellStart"/>
      <w:r w:rsidRPr="00227A76">
        <w:rPr>
          <w:rFonts w:ascii="Palatino Linotype" w:hAnsi="Palatino Linotype"/>
          <w:bCs/>
          <w:sz w:val="20"/>
          <w:szCs w:val="20"/>
          <w:lang w:val="fr-FR"/>
        </w:rPr>
        <w:t>Users</w:t>
      </w:r>
      <w:proofErr w:type="spellEnd"/>
      <w:r w:rsidRPr="00227A76">
        <w:rPr>
          <w:rFonts w:ascii="Palatino Linotype" w:hAnsi="Palatino Linotype"/>
          <w:bCs/>
          <w:sz w:val="20"/>
          <w:szCs w:val="20"/>
          <w:lang w:val="fr-FR"/>
        </w:rPr>
        <w:t xml:space="preserve"> have </w:t>
      </w:r>
      <w:proofErr w:type="spellStart"/>
      <w:r w:rsidRPr="00227A76">
        <w:rPr>
          <w:rFonts w:ascii="Palatino Linotype" w:hAnsi="Palatino Linotype"/>
          <w:bCs/>
          <w:sz w:val="20"/>
          <w:szCs w:val="20"/>
          <w:lang w:val="fr-FR"/>
        </w:rPr>
        <w:t>concerns</w:t>
      </w:r>
      <w:proofErr w:type="spellEnd"/>
      <w:r w:rsidRPr="00227A76">
        <w:rPr>
          <w:rFonts w:ascii="Palatino Linotype" w:hAnsi="Palatino Linotype"/>
          <w:bCs/>
          <w:sz w:val="20"/>
          <w:szCs w:val="20"/>
          <w:lang w:val="fr-FR"/>
        </w:rPr>
        <w:t xml:space="preserve"> about the </w:t>
      </w:r>
      <w:proofErr w:type="spellStart"/>
      <w:r w:rsidRPr="00227A76">
        <w:rPr>
          <w:rFonts w:ascii="Palatino Linotype" w:hAnsi="Palatino Linotype"/>
          <w:bCs/>
          <w:sz w:val="20"/>
          <w:szCs w:val="20"/>
          <w:lang w:val="fr-FR"/>
        </w:rPr>
        <w:t>platform's</w:t>
      </w:r>
      <w:proofErr w:type="spellEnd"/>
      <w:r w:rsidRPr="00227A76">
        <w:rPr>
          <w:rFonts w:ascii="Palatino Linotype" w:hAnsi="Palatino Linotype"/>
          <w:bCs/>
          <w:sz w:val="20"/>
          <w:szCs w:val="20"/>
          <w:lang w:val="fr-FR"/>
        </w:rPr>
        <w:t xml:space="preserve"> </w:t>
      </w:r>
      <w:proofErr w:type="spellStart"/>
      <w:r w:rsidRPr="00227A76">
        <w:rPr>
          <w:rFonts w:ascii="Palatino Linotype" w:hAnsi="Palatino Linotype"/>
          <w:bCs/>
          <w:sz w:val="20"/>
          <w:szCs w:val="20"/>
          <w:lang w:val="fr-FR"/>
        </w:rPr>
        <w:t>mistakes</w:t>
      </w:r>
      <w:proofErr w:type="spellEnd"/>
      <w:r w:rsidRPr="00227A76">
        <w:rPr>
          <w:rFonts w:ascii="Palatino Linotype" w:hAnsi="Palatino Linotype"/>
          <w:bCs/>
          <w:sz w:val="20"/>
          <w:szCs w:val="20"/>
          <w:lang w:val="fr-FR"/>
        </w:rPr>
        <w:t xml:space="preserve"> </w:t>
      </w:r>
      <w:proofErr w:type="spellStart"/>
      <w:r w:rsidRPr="00227A76">
        <w:rPr>
          <w:rFonts w:ascii="Palatino Linotype" w:hAnsi="Palatino Linotype"/>
          <w:bCs/>
          <w:sz w:val="20"/>
          <w:szCs w:val="20"/>
          <w:lang w:val="fr-FR"/>
        </w:rPr>
        <w:t>that</w:t>
      </w:r>
      <w:proofErr w:type="spellEnd"/>
      <w:r w:rsidRPr="00227A76">
        <w:rPr>
          <w:rFonts w:ascii="Palatino Linotype" w:hAnsi="Palatino Linotype"/>
          <w:bCs/>
          <w:sz w:val="20"/>
          <w:szCs w:val="20"/>
          <w:lang w:val="fr-FR"/>
        </w:rPr>
        <w:t xml:space="preserve"> can cause the </w:t>
      </w:r>
      <w:proofErr w:type="spellStart"/>
      <w:r w:rsidRPr="00227A76">
        <w:rPr>
          <w:rFonts w:ascii="Palatino Linotype" w:hAnsi="Palatino Linotype"/>
          <w:bCs/>
          <w:sz w:val="20"/>
          <w:szCs w:val="20"/>
          <w:lang w:val="fr-FR"/>
        </w:rPr>
        <w:t>loan</w:t>
      </w:r>
      <w:proofErr w:type="spellEnd"/>
      <w:r w:rsidRPr="00227A76">
        <w:rPr>
          <w:rFonts w:ascii="Palatino Linotype" w:hAnsi="Palatino Linotype"/>
          <w:bCs/>
          <w:sz w:val="20"/>
          <w:szCs w:val="20"/>
          <w:lang w:val="fr-FR"/>
        </w:rPr>
        <w:t xml:space="preserve"> nominal to </w:t>
      </w:r>
      <w:proofErr w:type="spellStart"/>
      <w:r w:rsidRPr="00227A76">
        <w:rPr>
          <w:rFonts w:ascii="Palatino Linotype" w:hAnsi="Palatino Linotype"/>
          <w:bCs/>
          <w:sz w:val="20"/>
          <w:szCs w:val="20"/>
          <w:lang w:val="fr-FR"/>
        </w:rPr>
        <w:t>be</w:t>
      </w:r>
      <w:proofErr w:type="spellEnd"/>
      <w:r w:rsidRPr="00227A76">
        <w:rPr>
          <w:rFonts w:ascii="Palatino Linotype" w:hAnsi="Palatino Linotype"/>
          <w:bCs/>
          <w:sz w:val="20"/>
          <w:szCs w:val="20"/>
          <w:lang w:val="fr-FR"/>
        </w:rPr>
        <w:t xml:space="preserve"> </w:t>
      </w:r>
      <w:proofErr w:type="spellStart"/>
      <w:r w:rsidRPr="00227A76">
        <w:rPr>
          <w:rFonts w:ascii="Palatino Linotype" w:hAnsi="Palatino Linotype"/>
          <w:bCs/>
          <w:sz w:val="20"/>
          <w:szCs w:val="20"/>
          <w:lang w:val="fr-FR"/>
        </w:rPr>
        <w:t>different</w:t>
      </w:r>
      <w:proofErr w:type="spellEnd"/>
      <w:r w:rsidRPr="00227A76">
        <w:rPr>
          <w:rFonts w:ascii="Palatino Linotype" w:hAnsi="Palatino Linotype"/>
          <w:bCs/>
          <w:sz w:val="20"/>
          <w:szCs w:val="20"/>
          <w:lang w:val="fr-FR"/>
        </w:rPr>
        <w:t xml:space="preserve"> </w:t>
      </w:r>
      <w:proofErr w:type="spellStart"/>
      <w:r w:rsidRPr="00227A76">
        <w:rPr>
          <w:rFonts w:ascii="Palatino Linotype" w:hAnsi="Palatino Linotype"/>
          <w:bCs/>
          <w:sz w:val="20"/>
          <w:szCs w:val="20"/>
          <w:lang w:val="fr-FR"/>
        </w:rPr>
        <w:t>from</w:t>
      </w:r>
      <w:proofErr w:type="spellEnd"/>
      <w:r w:rsidRPr="00227A76">
        <w:rPr>
          <w:rFonts w:ascii="Palatino Linotype" w:hAnsi="Palatino Linotype"/>
          <w:bCs/>
          <w:sz w:val="20"/>
          <w:szCs w:val="20"/>
          <w:lang w:val="fr-FR"/>
        </w:rPr>
        <w:t xml:space="preserve"> the </w:t>
      </w:r>
      <w:proofErr w:type="spellStart"/>
      <w:r w:rsidRPr="00227A76">
        <w:rPr>
          <w:rFonts w:ascii="Palatino Linotype" w:hAnsi="Palatino Linotype"/>
          <w:bCs/>
          <w:sz w:val="20"/>
          <w:szCs w:val="20"/>
          <w:lang w:val="fr-FR"/>
        </w:rPr>
        <w:t>payment</w:t>
      </w:r>
      <w:proofErr w:type="spellEnd"/>
      <w:r w:rsidRPr="00227A76">
        <w:rPr>
          <w:rFonts w:ascii="Palatino Linotype" w:hAnsi="Palatino Linotype"/>
          <w:bCs/>
          <w:sz w:val="20"/>
          <w:szCs w:val="20"/>
          <w:lang w:val="fr-FR"/>
        </w:rPr>
        <w:t xml:space="preserve"> </w:t>
      </w:r>
      <w:proofErr w:type="spellStart"/>
      <w:r w:rsidRPr="00227A76">
        <w:rPr>
          <w:rFonts w:ascii="Palatino Linotype" w:hAnsi="Palatino Linotype"/>
          <w:bCs/>
          <w:sz w:val="20"/>
          <w:szCs w:val="20"/>
          <w:lang w:val="fr-FR"/>
        </w:rPr>
        <w:t>recapitulation</w:t>
      </w:r>
      <w:proofErr w:type="spellEnd"/>
      <w:r w:rsidRPr="00227A76">
        <w:rPr>
          <w:rFonts w:ascii="Palatino Linotype" w:hAnsi="Palatino Linotype"/>
          <w:bCs/>
          <w:sz w:val="20"/>
          <w:szCs w:val="20"/>
          <w:lang w:val="fr-FR"/>
        </w:rPr>
        <w:t xml:space="preserve">. </w:t>
      </w:r>
      <w:proofErr w:type="spellStart"/>
      <w:r w:rsidRPr="00227A76">
        <w:rPr>
          <w:rFonts w:ascii="Palatino Linotype" w:hAnsi="Palatino Linotype"/>
          <w:bCs/>
          <w:sz w:val="20"/>
          <w:szCs w:val="20"/>
          <w:lang w:val="fr-FR"/>
        </w:rPr>
        <w:t>Based</w:t>
      </w:r>
      <w:proofErr w:type="spellEnd"/>
      <w:r w:rsidRPr="00227A76">
        <w:rPr>
          <w:rFonts w:ascii="Palatino Linotype" w:hAnsi="Palatino Linotype"/>
          <w:bCs/>
          <w:sz w:val="20"/>
          <w:szCs w:val="20"/>
          <w:lang w:val="fr-FR"/>
        </w:rPr>
        <w:t xml:space="preserve"> on </w:t>
      </w:r>
      <w:proofErr w:type="spellStart"/>
      <w:r w:rsidRPr="00227A76">
        <w:rPr>
          <w:rFonts w:ascii="Palatino Linotype" w:hAnsi="Palatino Linotype"/>
          <w:bCs/>
          <w:sz w:val="20"/>
          <w:szCs w:val="20"/>
          <w:lang w:val="fr-FR"/>
        </w:rPr>
        <w:t>this</w:t>
      </w:r>
      <w:proofErr w:type="spellEnd"/>
      <w:r w:rsidRPr="00227A76">
        <w:rPr>
          <w:rFonts w:ascii="Palatino Linotype" w:hAnsi="Palatino Linotype"/>
          <w:bCs/>
          <w:sz w:val="20"/>
          <w:szCs w:val="20"/>
          <w:lang w:val="fr-FR"/>
        </w:rPr>
        <w:t xml:space="preserve">, FinTech </w:t>
      </w:r>
      <w:proofErr w:type="spellStart"/>
      <w:r w:rsidRPr="00227A76">
        <w:rPr>
          <w:rFonts w:ascii="Palatino Linotype" w:hAnsi="Palatino Linotype"/>
          <w:bCs/>
          <w:sz w:val="20"/>
          <w:szCs w:val="20"/>
          <w:lang w:val="fr-FR"/>
        </w:rPr>
        <w:t>Lending</w:t>
      </w:r>
      <w:proofErr w:type="spellEnd"/>
      <w:r w:rsidRPr="00227A76">
        <w:rPr>
          <w:rFonts w:ascii="Palatino Linotype" w:hAnsi="Palatino Linotype"/>
          <w:bCs/>
          <w:sz w:val="20"/>
          <w:szCs w:val="20"/>
          <w:lang w:val="fr-FR"/>
        </w:rPr>
        <w:t xml:space="preserve"> service providers must </w:t>
      </w:r>
      <w:proofErr w:type="spellStart"/>
      <w:r w:rsidRPr="00227A76">
        <w:rPr>
          <w:rFonts w:ascii="Palatino Linotype" w:hAnsi="Palatino Linotype"/>
          <w:bCs/>
          <w:sz w:val="20"/>
          <w:szCs w:val="20"/>
          <w:lang w:val="fr-FR"/>
        </w:rPr>
        <w:t>ensure</w:t>
      </w:r>
      <w:proofErr w:type="spellEnd"/>
      <w:r w:rsidRPr="00227A76">
        <w:rPr>
          <w:rFonts w:ascii="Palatino Linotype" w:hAnsi="Palatino Linotype"/>
          <w:bCs/>
          <w:sz w:val="20"/>
          <w:szCs w:val="20"/>
          <w:lang w:val="fr-FR"/>
        </w:rPr>
        <w:t xml:space="preserve"> </w:t>
      </w:r>
      <w:proofErr w:type="spellStart"/>
      <w:r w:rsidRPr="00227A76">
        <w:rPr>
          <w:rFonts w:ascii="Palatino Linotype" w:hAnsi="Palatino Linotype"/>
          <w:bCs/>
          <w:sz w:val="20"/>
          <w:szCs w:val="20"/>
          <w:lang w:val="fr-FR"/>
        </w:rPr>
        <w:t>that</w:t>
      </w:r>
      <w:proofErr w:type="spellEnd"/>
      <w:r w:rsidRPr="00227A76">
        <w:rPr>
          <w:rFonts w:ascii="Palatino Linotype" w:hAnsi="Palatino Linotype"/>
          <w:bCs/>
          <w:sz w:val="20"/>
          <w:szCs w:val="20"/>
          <w:lang w:val="fr-FR"/>
        </w:rPr>
        <w:t xml:space="preserve"> </w:t>
      </w:r>
      <w:proofErr w:type="spellStart"/>
      <w:r w:rsidRPr="00227A76">
        <w:rPr>
          <w:rFonts w:ascii="Palatino Linotype" w:hAnsi="Palatino Linotype"/>
          <w:bCs/>
          <w:sz w:val="20"/>
          <w:szCs w:val="20"/>
          <w:lang w:val="fr-FR"/>
        </w:rPr>
        <w:t>their</w:t>
      </w:r>
      <w:proofErr w:type="spellEnd"/>
      <w:r w:rsidRPr="00227A76">
        <w:rPr>
          <w:rFonts w:ascii="Palatino Linotype" w:hAnsi="Palatino Linotype"/>
          <w:bCs/>
          <w:sz w:val="20"/>
          <w:szCs w:val="20"/>
          <w:lang w:val="fr-FR"/>
        </w:rPr>
        <w:t xml:space="preserve"> business has been </w:t>
      </w:r>
      <w:proofErr w:type="spellStart"/>
      <w:r w:rsidRPr="00227A76">
        <w:rPr>
          <w:rFonts w:ascii="Palatino Linotype" w:hAnsi="Palatino Linotype"/>
          <w:bCs/>
          <w:sz w:val="20"/>
          <w:szCs w:val="20"/>
          <w:lang w:val="fr-FR"/>
        </w:rPr>
        <w:t>registered</w:t>
      </w:r>
      <w:proofErr w:type="spellEnd"/>
      <w:r w:rsidRPr="00227A76">
        <w:rPr>
          <w:rFonts w:ascii="Palatino Linotype" w:hAnsi="Palatino Linotype"/>
          <w:bCs/>
          <w:sz w:val="20"/>
          <w:szCs w:val="20"/>
          <w:lang w:val="fr-FR"/>
        </w:rPr>
        <w:t xml:space="preserve"> and has a business </w:t>
      </w:r>
      <w:proofErr w:type="spellStart"/>
      <w:r w:rsidRPr="00227A76">
        <w:rPr>
          <w:rFonts w:ascii="Palatino Linotype" w:hAnsi="Palatino Linotype"/>
          <w:bCs/>
          <w:sz w:val="20"/>
          <w:szCs w:val="20"/>
          <w:lang w:val="fr-FR"/>
        </w:rPr>
        <w:t>license</w:t>
      </w:r>
      <w:proofErr w:type="spellEnd"/>
      <w:r w:rsidRPr="00227A76">
        <w:rPr>
          <w:rFonts w:ascii="Palatino Linotype" w:hAnsi="Palatino Linotype"/>
          <w:bCs/>
          <w:sz w:val="20"/>
          <w:szCs w:val="20"/>
          <w:lang w:val="fr-FR"/>
        </w:rPr>
        <w:t xml:space="preserve"> </w:t>
      </w:r>
      <w:proofErr w:type="spellStart"/>
      <w:r w:rsidRPr="00227A76">
        <w:rPr>
          <w:rFonts w:ascii="Palatino Linotype" w:hAnsi="Palatino Linotype"/>
          <w:bCs/>
          <w:sz w:val="20"/>
          <w:szCs w:val="20"/>
          <w:lang w:val="fr-FR"/>
        </w:rPr>
        <w:t>listed</w:t>
      </w:r>
      <w:proofErr w:type="spellEnd"/>
      <w:r w:rsidRPr="00227A76">
        <w:rPr>
          <w:rFonts w:ascii="Palatino Linotype" w:hAnsi="Palatino Linotype"/>
          <w:bCs/>
          <w:sz w:val="20"/>
          <w:szCs w:val="20"/>
          <w:lang w:val="fr-FR"/>
        </w:rPr>
        <w:t xml:space="preserve"> on the OJK </w:t>
      </w:r>
      <w:proofErr w:type="spellStart"/>
      <w:r w:rsidRPr="00227A76">
        <w:rPr>
          <w:rFonts w:ascii="Palatino Linotype" w:hAnsi="Palatino Linotype"/>
          <w:bCs/>
          <w:sz w:val="20"/>
          <w:szCs w:val="20"/>
          <w:lang w:val="fr-FR"/>
        </w:rPr>
        <w:t>website</w:t>
      </w:r>
      <w:proofErr w:type="spellEnd"/>
      <w:r w:rsidRPr="00227A76">
        <w:rPr>
          <w:rFonts w:ascii="Palatino Linotype" w:hAnsi="Palatino Linotype"/>
          <w:bCs/>
          <w:sz w:val="20"/>
          <w:szCs w:val="20"/>
          <w:lang w:val="fr-FR"/>
        </w:rPr>
        <w:t xml:space="preserve"> </w:t>
      </w:r>
      <w:proofErr w:type="spellStart"/>
      <w:r w:rsidRPr="00227A76">
        <w:rPr>
          <w:rFonts w:ascii="Palatino Linotype" w:hAnsi="Palatino Linotype"/>
          <w:bCs/>
          <w:sz w:val="20"/>
          <w:szCs w:val="20"/>
          <w:lang w:val="fr-FR"/>
        </w:rPr>
        <w:t>so</w:t>
      </w:r>
      <w:proofErr w:type="spellEnd"/>
      <w:r w:rsidRPr="00227A76">
        <w:rPr>
          <w:rFonts w:ascii="Palatino Linotype" w:hAnsi="Palatino Linotype"/>
          <w:bCs/>
          <w:sz w:val="20"/>
          <w:szCs w:val="20"/>
          <w:lang w:val="fr-FR"/>
        </w:rPr>
        <w:t xml:space="preserve"> </w:t>
      </w:r>
      <w:proofErr w:type="spellStart"/>
      <w:r w:rsidRPr="00227A76">
        <w:rPr>
          <w:rFonts w:ascii="Palatino Linotype" w:hAnsi="Palatino Linotype"/>
          <w:bCs/>
          <w:sz w:val="20"/>
          <w:szCs w:val="20"/>
          <w:lang w:val="fr-FR"/>
        </w:rPr>
        <w:t>that</w:t>
      </w:r>
      <w:proofErr w:type="spellEnd"/>
      <w:r w:rsidRPr="00227A76">
        <w:rPr>
          <w:rFonts w:ascii="Palatino Linotype" w:hAnsi="Palatino Linotype"/>
          <w:bCs/>
          <w:sz w:val="20"/>
          <w:szCs w:val="20"/>
          <w:lang w:val="fr-FR"/>
        </w:rPr>
        <w:t xml:space="preserve"> </w:t>
      </w:r>
      <w:proofErr w:type="spellStart"/>
      <w:r w:rsidRPr="00227A76">
        <w:rPr>
          <w:rFonts w:ascii="Palatino Linotype" w:hAnsi="Palatino Linotype"/>
          <w:bCs/>
          <w:sz w:val="20"/>
          <w:szCs w:val="20"/>
          <w:lang w:val="fr-FR"/>
        </w:rPr>
        <w:t>users</w:t>
      </w:r>
      <w:proofErr w:type="spellEnd"/>
      <w:r w:rsidRPr="00227A76">
        <w:rPr>
          <w:rFonts w:ascii="Palatino Linotype" w:hAnsi="Palatino Linotype"/>
          <w:bCs/>
          <w:sz w:val="20"/>
          <w:szCs w:val="20"/>
          <w:lang w:val="fr-FR"/>
        </w:rPr>
        <w:t xml:space="preserve"> can </w:t>
      </w:r>
      <w:proofErr w:type="spellStart"/>
      <w:r w:rsidRPr="00227A76">
        <w:rPr>
          <w:rFonts w:ascii="Palatino Linotype" w:hAnsi="Palatino Linotype"/>
          <w:bCs/>
          <w:sz w:val="20"/>
          <w:szCs w:val="20"/>
          <w:lang w:val="fr-FR"/>
        </w:rPr>
        <w:t>be</w:t>
      </w:r>
      <w:proofErr w:type="spellEnd"/>
      <w:r w:rsidRPr="00227A76">
        <w:rPr>
          <w:rFonts w:ascii="Palatino Linotype" w:hAnsi="Palatino Linotype"/>
          <w:bCs/>
          <w:sz w:val="20"/>
          <w:szCs w:val="20"/>
          <w:lang w:val="fr-FR"/>
        </w:rPr>
        <w:t xml:space="preserve"> sure </w:t>
      </w:r>
      <w:proofErr w:type="spellStart"/>
      <w:r w:rsidRPr="00227A76">
        <w:rPr>
          <w:rFonts w:ascii="Palatino Linotype" w:hAnsi="Palatino Linotype"/>
          <w:bCs/>
          <w:sz w:val="20"/>
          <w:szCs w:val="20"/>
          <w:lang w:val="fr-FR"/>
        </w:rPr>
        <w:t>that</w:t>
      </w:r>
      <w:proofErr w:type="spellEnd"/>
      <w:r w:rsidRPr="00227A76">
        <w:rPr>
          <w:rFonts w:ascii="Palatino Linotype" w:hAnsi="Palatino Linotype"/>
          <w:bCs/>
          <w:sz w:val="20"/>
          <w:szCs w:val="20"/>
          <w:lang w:val="fr-FR"/>
        </w:rPr>
        <w:t xml:space="preserve"> FinTech has </w:t>
      </w:r>
      <w:proofErr w:type="spellStart"/>
      <w:r w:rsidRPr="00227A76">
        <w:rPr>
          <w:rFonts w:ascii="Palatino Linotype" w:hAnsi="Palatino Linotype"/>
          <w:bCs/>
          <w:sz w:val="20"/>
          <w:szCs w:val="20"/>
          <w:lang w:val="fr-FR"/>
        </w:rPr>
        <w:t>complied</w:t>
      </w:r>
      <w:proofErr w:type="spellEnd"/>
      <w:r w:rsidRPr="00227A76">
        <w:rPr>
          <w:rFonts w:ascii="Palatino Linotype" w:hAnsi="Palatino Linotype"/>
          <w:bCs/>
          <w:sz w:val="20"/>
          <w:szCs w:val="20"/>
          <w:lang w:val="fr-FR"/>
        </w:rPr>
        <w:t xml:space="preserve"> </w:t>
      </w:r>
      <w:proofErr w:type="spellStart"/>
      <w:r w:rsidRPr="00227A76">
        <w:rPr>
          <w:rFonts w:ascii="Palatino Linotype" w:hAnsi="Palatino Linotype"/>
          <w:bCs/>
          <w:sz w:val="20"/>
          <w:szCs w:val="20"/>
          <w:lang w:val="fr-FR"/>
        </w:rPr>
        <w:t>with</w:t>
      </w:r>
      <w:proofErr w:type="spellEnd"/>
      <w:r w:rsidRPr="00227A76">
        <w:rPr>
          <w:rFonts w:ascii="Palatino Linotype" w:hAnsi="Palatino Linotype"/>
          <w:bCs/>
          <w:sz w:val="20"/>
          <w:szCs w:val="20"/>
          <w:lang w:val="fr-FR"/>
        </w:rPr>
        <w:t xml:space="preserve"> the </w:t>
      </w:r>
      <w:proofErr w:type="spellStart"/>
      <w:r w:rsidRPr="00227A76">
        <w:rPr>
          <w:rFonts w:ascii="Palatino Linotype" w:hAnsi="Palatino Linotype"/>
          <w:bCs/>
          <w:sz w:val="20"/>
          <w:szCs w:val="20"/>
          <w:lang w:val="fr-FR"/>
        </w:rPr>
        <w:t>government's</w:t>
      </w:r>
      <w:proofErr w:type="spellEnd"/>
      <w:r w:rsidRPr="00227A76">
        <w:rPr>
          <w:rFonts w:ascii="Palatino Linotype" w:hAnsi="Palatino Linotype"/>
          <w:bCs/>
          <w:sz w:val="20"/>
          <w:szCs w:val="20"/>
          <w:lang w:val="fr-FR"/>
        </w:rPr>
        <w:t xml:space="preserve"> </w:t>
      </w:r>
      <w:proofErr w:type="spellStart"/>
      <w:r w:rsidRPr="00227A76">
        <w:rPr>
          <w:rFonts w:ascii="Palatino Linotype" w:hAnsi="Palatino Linotype"/>
          <w:bCs/>
          <w:sz w:val="20"/>
          <w:szCs w:val="20"/>
          <w:lang w:val="fr-FR"/>
        </w:rPr>
        <w:t>rules</w:t>
      </w:r>
      <w:proofErr w:type="spellEnd"/>
      <w:r w:rsidRPr="00227A76">
        <w:rPr>
          <w:rFonts w:ascii="Palatino Linotype" w:hAnsi="Palatino Linotype"/>
          <w:bCs/>
          <w:sz w:val="20"/>
          <w:szCs w:val="20"/>
          <w:lang w:val="fr-FR"/>
        </w:rPr>
        <w:t xml:space="preserve"> and </w:t>
      </w:r>
      <w:proofErr w:type="spellStart"/>
      <w:r w:rsidRPr="00227A76">
        <w:rPr>
          <w:rFonts w:ascii="Palatino Linotype" w:hAnsi="Palatino Linotype"/>
          <w:bCs/>
          <w:sz w:val="20"/>
          <w:szCs w:val="20"/>
          <w:lang w:val="fr-FR"/>
        </w:rPr>
        <w:t>regulations</w:t>
      </w:r>
      <w:proofErr w:type="spellEnd"/>
      <w:r w:rsidRPr="00227A76">
        <w:rPr>
          <w:rFonts w:ascii="Palatino Linotype" w:hAnsi="Palatino Linotype"/>
          <w:bCs/>
          <w:sz w:val="20"/>
          <w:szCs w:val="20"/>
          <w:lang w:val="fr-FR"/>
        </w:rPr>
        <w:t xml:space="preserve">. FinTech </w:t>
      </w:r>
      <w:proofErr w:type="spellStart"/>
      <w:r w:rsidRPr="00227A76">
        <w:rPr>
          <w:rFonts w:ascii="Palatino Linotype" w:hAnsi="Palatino Linotype"/>
          <w:bCs/>
          <w:sz w:val="20"/>
          <w:szCs w:val="20"/>
          <w:lang w:val="fr-FR"/>
        </w:rPr>
        <w:t>Lending</w:t>
      </w:r>
      <w:proofErr w:type="spellEnd"/>
      <w:r w:rsidRPr="00227A76">
        <w:rPr>
          <w:rFonts w:ascii="Palatino Linotype" w:hAnsi="Palatino Linotype"/>
          <w:bCs/>
          <w:sz w:val="20"/>
          <w:szCs w:val="20"/>
          <w:lang w:val="fr-FR"/>
        </w:rPr>
        <w:t xml:space="preserve"> </w:t>
      </w:r>
      <w:proofErr w:type="spellStart"/>
      <w:r w:rsidRPr="00227A76">
        <w:rPr>
          <w:rFonts w:ascii="Palatino Linotype" w:hAnsi="Palatino Linotype"/>
          <w:bCs/>
          <w:sz w:val="20"/>
          <w:szCs w:val="20"/>
          <w:lang w:val="fr-FR"/>
        </w:rPr>
        <w:t>is</w:t>
      </w:r>
      <w:proofErr w:type="spellEnd"/>
      <w:r w:rsidRPr="00227A76">
        <w:rPr>
          <w:rFonts w:ascii="Palatino Linotype" w:hAnsi="Palatino Linotype"/>
          <w:bCs/>
          <w:sz w:val="20"/>
          <w:szCs w:val="20"/>
          <w:lang w:val="fr-FR"/>
        </w:rPr>
        <w:t xml:space="preserve"> </w:t>
      </w:r>
      <w:proofErr w:type="spellStart"/>
      <w:r w:rsidRPr="00227A76">
        <w:rPr>
          <w:rFonts w:ascii="Palatino Linotype" w:hAnsi="Palatino Linotype"/>
          <w:bCs/>
          <w:sz w:val="20"/>
          <w:szCs w:val="20"/>
          <w:lang w:val="fr-FR"/>
        </w:rPr>
        <w:t>expected</w:t>
      </w:r>
      <w:proofErr w:type="spellEnd"/>
      <w:r w:rsidRPr="00227A76">
        <w:rPr>
          <w:rFonts w:ascii="Palatino Linotype" w:hAnsi="Palatino Linotype"/>
          <w:bCs/>
          <w:sz w:val="20"/>
          <w:szCs w:val="20"/>
          <w:lang w:val="fr-FR"/>
        </w:rPr>
        <w:t xml:space="preserve"> to </w:t>
      </w:r>
      <w:proofErr w:type="spellStart"/>
      <w:r w:rsidRPr="00227A76">
        <w:rPr>
          <w:rFonts w:ascii="Palatino Linotype" w:hAnsi="Palatino Linotype"/>
          <w:bCs/>
          <w:sz w:val="20"/>
          <w:szCs w:val="20"/>
          <w:lang w:val="fr-FR"/>
        </w:rPr>
        <w:t>demonstrate</w:t>
      </w:r>
      <w:proofErr w:type="spellEnd"/>
      <w:r w:rsidRPr="00227A76">
        <w:rPr>
          <w:rFonts w:ascii="Palatino Linotype" w:hAnsi="Palatino Linotype"/>
          <w:bCs/>
          <w:sz w:val="20"/>
          <w:szCs w:val="20"/>
          <w:lang w:val="fr-FR"/>
        </w:rPr>
        <w:t xml:space="preserve"> </w:t>
      </w:r>
      <w:proofErr w:type="spellStart"/>
      <w:r w:rsidRPr="00227A76">
        <w:rPr>
          <w:rFonts w:ascii="Palatino Linotype" w:hAnsi="Palatino Linotype"/>
          <w:bCs/>
          <w:sz w:val="20"/>
          <w:szCs w:val="20"/>
          <w:lang w:val="fr-FR"/>
        </w:rPr>
        <w:t>that</w:t>
      </w:r>
      <w:proofErr w:type="spellEnd"/>
      <w:r w:rsidRPr="00227A76">
        <w:rPr>
          <w:rFonts w:ascii="Palatino Linotype" w:hAnsi="Palatino Linotype"/>
          <w:bCs/>
          <w:sz w:val="20"/>
          <w:szCs w:val="20"/>
          <w:lang w:val="fr-FR"/>
        </w:rPr>
        <w:t xml:space="preserve"> FinTech must </w:t>
      </w:r>
      <w:proofErr w:type="spellStart"/>
      <w:r w:rsidRPr="00227A76">
        <w:rPr>
          <w:rFonts w:ascii="Palatino Linotype" w:hAnsi="Palatino Linotype"/>
          <w:bCs/>
          <w:sz w:val="20"/>
          <w:szCs w:val="20"/>
          <w:lang w:val="fr-FR"/>
        </w:rPr>
        <w:t>be</w:t>
      </w:r>
      <w:proofErr w:type="spellEnd"/>
      <w:r w:rsidRPr="00227A76">
        <w:rPr>
          <w:rFonts w:ascii="Palatino Linotype" w:hAnsi="Palatino Linotype"/>
          <w:bCs/>
          <w:sz w:val="20"/>
          <w:szCs w:val="20"/>
          <w:lang w:val="fr-FR"/>
        </w:rPr>
        <w:t xml:space="preserve"> operating in the </w:t>
      </w:r>
      <w:proofErr w:type="spellStart"/>
      <w:r w:rsidRPr="00227A76">
        <w:rPr>
          <w:rFonts w:ascii="Palatino Linotype" w:hAnsi="Palatino Linotype"/>
          <w:bCs/>
          <w:sz w:val="20"/>
          <w:szCs w:val="20"/>
          <w:lang w:val="fr-FR"/>
        </w:rPr>
        <w:t>sandbox's</w:t>
      </w:r>
      <w:proofErr w:type="spellEnd"/>
      <w:r w:rsidRPr="00227A76">
        <w:rPr>
          <w:rFonts w:ascii="Palatino Linotype" w:hAnsi="Palatino Linotype"/>
          <w:bCs/>
          <w:sz w:val="20"/>
          <w:szCs w:val="20"/>
          <w:lang w:val="fr-FR"/>
        </w:rPr>
        <w:t xml:space="preserve"> light-</w:t>
      </w:r>
      <w:proofErr w:type="spellStart"/>
      <w:r w:rsidRPr="00227A76">
        <w:rPr>
          <w:rFonts w:ascii="Palatino Linotype" w:hAnsi="Palatino Linotype"/>
          <w:bCs/>
          <w:sz w:val="20"/>
          <w:szCs w:val="20"/>
          <w:lang w:val="fr-FR"/>
        </w:rPr>
        <w:t>touch</w:t>
      </w:r>
      <w:proofErr w:type="spellEnd"/>
      <w:r w:rsidRPr="00227A76">
        <w:rPr>
          <w:rFonts w:ascii="Palatino Linotype" w:hAnsi="Palatino Linotype"/>
          <w:bCs/>
          <w:sz w:val="20"/>
          <w:szCs w:val="20"/>
          <w:lang w:val="fr-FR"/>
        </w:rPr>
        <w:t xml:space="preserve"> </w:t>
      </w:r>
      <w:proofErr w:type="spellStart"/>
      <w:r w:rsidRPr="00227A76">
        <w:rPr>
          <w:rFonts w:ascii="Palatino Linotype" w:hAnsi="Palatino Linotype"/>
          <w:bCs/>
          <w:sz w:val="20"/>
          <w:szCs w:val="20"/>
          <w:lang w:val="fr-FR"/>
        </w:rPr>
        <w:t>regulatory</w:t>
      </w:r>
      <w:proofErr w:type="spellEnd"/>
      <w:r w:rsidRPr="00227A76">
        <w:rPr>
          <w:rFonts w:ascii="Palatino Linotype" w:hAnsi="Palatino Linotype"/>
          <w:bCs/>
          <w:sz w:val="20"/>
          <w:szCs w:val="20"/>
          <w:lang w:val="fr-FR"/>
        </w:rPr>
        <w:t xml:space="preserve"> </w:t>
      </w:r>
      <w:proofErr w:type="spellStart"/>
      <w:r w:rsidR="00837B70">
        <w:rPr>
          <w:rFonts w:ascii="Palatino Linotype" w:hAnsi="Palatino Linotype"/>
          <w:bCs/>
          <w:sz w:val="20"/>
          <w:szCs w:val="20"/>
          <w:lang w:val="fr-FR"/>
        </w:rPr>
        <w:t>surrounding</w:t>
      </w:r>
      <w:proofErr w:type="spellEnd"/>
      <w:r w:rsidRPr="00227A76">
        <w:rPr>
          <w:rFonts w:ascii="Palatino Linotype" w:hAnsi="Palatino Linotype"/>
          <w:bCs/>
          <w:sz w:val="20"/>
          <w:szCs w:val="20"/>
          <w:lang w:val="fr-FR"/>
        </w:rPr>
        <w:t xml:space="preserve"> for one </w:t>
      </w:r>
      <w:proofErr w:type="spellStart"/>
      <w:r w:rsidRPr="00227A76">
        <w:rPr>
          <w:rFonts w:ascii="Palatino Linotype" w:hAnsi="Palatino Linotype"/>
          <w:bCs/>
          <w:sz w:val="20"/>
          <w:szCs w:val="20"/>
          <w:lang w:val="fr-FR"/>
        </w:rPr>
        <w:t>year</w:t>
      </w:r>
      <w:proofErr w:type="spellEnd"/>
      <w:r w:rsidRPr="00227A76">
        <w:rPr>
          <w:rFonts w:ascii="Palatino Linotype" w:hAnsi="Palatino Linotype"/>
          <w:bCs/>
          <w:sz w:val="20"/>
          <w:szCs w:val="20"/>
          <w:lang w:val="fr-FR"/>
        </w:rPr>
        <w:t xml:space="preserve"> </w:t>
      </w:r>
      <w:proofErr w:type="spellStart"/>
      <w:r w:rsidRPr="00227A76">
        <w:rPr>
          <w:rFonts w:ascii="Palatino Linotype" w:hAnsi="Palatino Linotype"/>
          <w:bCs/>
          <w:sz w:val="20"/>
          <w:szCs w:val="20"/>
          <w:lang w:val="fr-FR"/>
        </w:rPr>
        <w:t>before</w:t>
      </w:r>
      <w:proofErr w:type="spellEnd"/>
      <w:r w:rsidRPr="00227A76">
        <w:rPr>
          <w:rFonts w:ascii="Palatino Linotype" w:hAnsi="Palatino Linotype"/>
          <w:bCs/>
          <w:sz w:val="20"/>
          <w:szCs w:val="20"/>
          <w:lang w:val="fr-FR"/>
        </w:rPr>
        <w:t xml:space="preserve"> </w:t>
      </w:r>
      <w:r w:rsidR="00F736D8">
        <w:rPr>
          <w:rFonts w:ascii="Palatino Linotype" w:hAnsi="Palatino Linotype"/>
          <w:bCs/>
          <w:sz w:val="20"/>
          <w:szCs w:val="20"/>
          <w:lang w:val="fr-FR"/>
        </w:rPr>
        <w:t>listing</w:t>
      </w:r>
      <w:r w:rsidRPr="00227A76">
        <w:rPr>
          <w:rFonts w:ascii="Palatino Linotype" w:hAnsi="Palatino Linotype"/>
          <w:bCs/>
          <w:sz w:val="20"/>
          <w:szCs w:val="20"/>
          <w:lang w:val="fr-FR"/>
        </w:rPr>
        <w:t xml:space="preserve"> for a </w:t>
      </w:r>
      <w:proofErr w:type="spellStart"/>
      <w:r w:rsidRPr="00227A76">
        <w:rPr>
          <w:rFonts w:ascii="Palatino Linotype" w:hAnsi="Palatino Linotype"/>
          <w:bCs/>
          <w:sz w:val="20"/>
          <w:szCs w:val="20"/>
          <w:lang w:val="fr-FR"/>
        </w:rPr>
        <w:t>license</w:t>
      </w:r>
      <w:proofErr w:type="spellEnd"/>
      <w:r w:rsidRPr="00227A76">
        <w:rPr>
          <w:rFonts w:ascii="Palatino Linotype" w:hAnsi="Palatino Linotype"/>
          <w:bCs/>
          <w:sz w:val="20"/>
          <w:szCs w:val="20"/>
          <w:lang w:val="fr-FR"/>
        </w:rPr>
        <w:t xml:space="preserve">. FinTech </w:t>
      </w:r>
      <w:proofErr w:type="spellStart"/>
      <w:r w:rsidRPr="00227A76">
        <w:rPr>
          <w:rFonts w:ascii="Palatino Linotype" w:hAnsi="Palatino Linotype"/>
          <w:bCs/>
          <w:sz w:val="20"/>
          <w:szCs w:val="20"/>
          <w:lang w:val="fr-FR"/>
        </w:rPr>
        <w:t>Lending</w:t>
      </w:r>
      <w:proofErr w:type="spellEnd"/>
      <w:r w:rsidRPr="00227A76">
        <w:rPr>
          <w:rFonts w:ascii="Palatino Linotype" w:hAnsi="Palatino Linotype"/>
          <w:bCs/>
          <w:sz w:val="20"/>
          <w:szCs w:val="20"/>
          <w:lang w:val="fr-FR"/>
        </w:rPr>
        <w:t xml:space="preserve"> service providers can </w:t>
      </w:r>
      <w:proofErr w:type="spellStart"/>
      <w:r w:rsidRPr="00227A76">
        <w:rPr>
          <w:rFonts w:ascii="Palatino Linotype" w:hAnsi="Palatino Linotype"/>
          <w:bCs/>
          <w:sz w:val="20"/>
          <w:szCs w:val="20"/>
          <w:lang w:val="fr-FR"/>
        </w:rPr>
        <w:t>also</w:t>
      </w:r>
      <w:proofErr w:type="spellEnd"/>
      <w:r w:rsidRPr="00227A76">
        <w:rPr>
          <w:rFonts w:ascii="Palatino Linotype" w:hAnsi="Palatino Linotype"/>
          <w:bCs/>
          <w:sz w:val="20"/>
          <w:szCs w:val="20"/>
          <w:lang w:val="fr-FR"/>
        </w:rPr>
        <w:t xml:space="preserve"> </w:t>
      </w:r>
      <w:proofErr w:type="spellStart"/>
      <w:r w:rsidRPr="00227A76">
        <w:rPr>
          <w:rFonts w:ascii="Palatino Linotype" w:hAnsi="Palatino Linotype"/>
          <w:bCs/>
          <w:sz w:val="20"/>
          <w:szCs w:val="20"/>
          <w:lang w:val="fr-FR"/>
        </w:rPr>
        <w:t>re-evaluate</w:t>
      </w:r>
      <w:proofErr w:type="spellEnd"/>
      <w:r w:rsidRPr="00227A76">
        <w:rPr>
          <w:rFonts w:ascii="Palatino Linotype" w:hAnsi="Palatino Linotype"/>
          <w:bCs/>
          <w:sz w:val="20"/>
          <w:szCs w:val="20"/>
          <w:lang w:val="fr-FR"/>
        </w:rPr>
        <w:t xml:space="preserve"> the </w:t>
      </w:r>
      <w:proofErr w:type="spellStart"/>
      <w:r w:rsidRPr="00227A76">
        <w:rPr>
          <w:rFonts w:ascii="Palatino Linotype" w:hAnsi="Palatino Linotype"/>
          <w:bCs/>
          <w:sz w:val="20"/>
          <w:szCs w:val="20"/>
          <w:lang w:val="fr-FR"/>
        </w:rPr>
        <w:t>number</w:t>
      </w:r>
      <w:proofErr w:type="spellEnd"/>
      <w:r w:rsidRPr="00227A76">
        <w:rPr>
          <w:rFonts w:ascii="Palatino Linotype" w:hAnsi="Palatino Linotype"/>
          <w:bCs/>
          <w:sz w:val="20"/>
          <w:szCs w:val="20"/>
          <w:lang w:val="fr-FR"/>
        </w:rPr>
        <w:t xml:space="preserve"> of </w:t>
      </w:r>
      <w:proofErr w:type="spellStart"/>
      <w:r w:rsidRPr="00227A76">
        <w:rPr>
          <w:rFonts w:ascii="Palatino Linotype" w:hAnsi="Palatino Linotype"/>
          <w:bCs/>
          <w:sz w:val="20"/>
          <w:szCs w:val="20"/>
          <w:lang w:val="fr-FR"/>
        </w:rPr>
        <w:t>interest</w:t>
      </w:r>
      <w:proofErr w:type="spellEnd"/>
      <w:r w:rsidRPr="00227A76">
        <w:rPr>
          <w:rFonts w:ascii="Palatino Linotype" w:hAnsi="Palatino Linotype"/>
          <w:bCs/>
          <w:sz w:val="20"/>
          <w:szCs w:val="20"/>
          <w:lang w:val="fr-FR"/>
        </w:rPr>
        <w:t xml:space="preserve"> rates </w:t>
      </w:r>
      <w:proofErr w:type="spellStart"/>
      <w:r w:rsidRPr="00227A76">
        <w:rPr>
          <w:rFonts w:ascii="Palatino Linotype" w:hAnsi="Palatino Linotype"/>
          <w:bCs/>
          <w:sz w:val="20"/>
          <w:szCs w:val="20"/>
          <w:lang w:val="fr-FR"/>
        </w:rPr>
        <w:t>offered</w:t>
      </w:r>
      <w:proofErr w:type="spellEnd"/>
      <w:r w:rsidRPr="00227A76">
        <w:rPr>
          <w:rFonts w:ascii="Palatino Linotype" w:hAnsi="Palatino Linotype"/>
          <w:bCs/>
          <w:sz w:val="20"/>
          <w:szCs w:val="20"/>
          <w:lang w:val="fr-FR"/>
        </w:rPr>
        <w:t xml:space="preserve"> by </w:t>
      </w:r>
      <w:proofErr w:type="spellStart"/>
      <w:r w:rsidRPr="00227A76">
        <w:rPr>
          <w:rFonts w:ascii="Palatino Linotype" w:hAnsi="Palatino Linotype"/>
          <w:bCs/>
          <w:sz w:val="20"/>
          <w:szCs w:val="20"/>
          <w:lang w:val="fr-FR"/>
        </w:rPr>
        <w:t>users</w:t>
      </w:r>
      <w:proofErr w:type="spellEnd"/>
      <w:r w:rsidRPr="00227A76">
        <w:rPr>
          <w:rFonts w:ascii="Palatino Linotype" w:hAnsi="Palatino Linotype"/>
          <w:bCs/>
          <w:sz w:val="20"/>
          <w:szCs w:val="20"/>
          <w:lang w:val="fr-FR"/>
        </w:rPr>
        <w:t xml:space="preserve"> </w:t>
      </w:r>
      <w:proofErr w:type="spellStart"/>
      <w:r w:rsidRPr="00227A76">
        <w:rPr>
          <w:rFonts w:ascii="Palatino Linotype" w:hAnsi="Palatino Linotype"/>
          <w:bCs/>
          <w:sz w:val="20"/>
          <w:szCs w:val="20"/>
          <w:lang w:val="fr-FR"/>
        </w:rPr>
        <w:t>so</w:t>
      </w:r>
      <w:proofErr w:type="spellEnd"/>
      <w:r w:rsidRPr="00227A76">
        <w:rPr>
          <w:rFonts w:ascii="Palatino Linotype" w:hAnsi="Palatino Linotype"/>
          <w:bCs/>
          <w:sz w:val="20"/>
          <w:szCs w:val="20"/>
          <w:lang w:val="fr-FR"/>
        </w:rPr>
        <w:t xml:space="preserve"> </w:t>
      </w:r>
      <w:proofErr w:type="spellStart"/>
      <w:r w:rsidRPr="00227A76">
        <w:rPr>
          <w:rFonts w:ascii="Palatino Linotype" w:hAnsi="Palatino Linotype"/>
          <w:bCs/>
          <w:sz w:val="20"/>
          <w:szCs w:val="20"/>
          <w:lang w:val="fr-FR"/>
        </w:rPr>
        <w:t>that</w:t>
      </w:r>
      <w:proofErr w:type="spellEnd"/>
      <w:r w:rsidRPr="00227A76">
        <w:rPr>
          <w:rFonts w:ascii="Palatino Linotype" w:hAnsi="Palatino Linotype"/>
          <w:bCs/>
          <w:sz w:val="20"/>
          <w:szCs w:val="20"/>
          <w:lang w:val="fr-FR"/>
        </w:rPr>
        <w:t xml:space="preserve"> </w:t>
      </w:r>
      <w:proofErr w:type="spellStart"/>
      <w:r w:rsidRPr="00227A76">
        <w:rPr>
          <w:rFonts w:ascii="Palatino Linotype" w:hAnsi="Palatino Linotype"/>
          <w:bCs/>
          <w:sz w:val="20"/>
          <w:szCs w:val="20"/>
          <w:lang w:val="fr-FR"/>
        </w:rPr>
        <w:t>they</w:t>
      </w:r>
      <w:proofErr w:type="spellEnd"/>
      <w:r w:rsidRPr="00227A76">
        <w:rPr>
          <w:rFonts w:ascii="Palatino Linotype" w:hAnsi="Palatino Linotype"/>
          <w:bCs/>
          <w:sz w:val="20"/>
          <w:szCs w:val="20"/>
          <w:lang w:val="fr-FR"/>
        </w:rPr>
        <w:t xml:space="preserve"> </w:t>
      </w:r>
      <w:proofErr w:type="spellStart"/>
      <w:r w:rsidRPr="00227A76">
        <w:rPr>
          <w:rFonts w:ascii="Palatino Linotype" w:hAnsi="Palatino Linotype"/>
          <w:bCs/>
          <w:sz w:val="20"/>
          <w:szCs w:val="20"/>
          <w:lang w:val="fr-FR"/>
        </w:rPr>
        <w:t>remain</w:t>
      </w:r>
      <w:proofErr w:type="spellEnd"/>
      <w:r w:rsidRPr="00227A76">
        <w:rPr>
          <w:rFonts w:ascii="Palatino Linotype" w:hAnsi="Palatino Linotype"/>
          <w:bCs/>
          <w:sz w:val="20"/>
          <w:szCs w:val="20"/>
          <w:lang w:val="fr-FR"/>
        </w:rPr>
        <w:t xml:space="preserve"> </w:t>
      </w:r>
      <w:proofErr w:type="spellStart"/>
      <w:r w:rsidRPr="00227A76">
        <w:rPr>
          <w:rFonts w:ascii="Palatino Linotype" w:hAnsi="Palatino Linotype"/>
          <w:bCs/>
          <w:sz w:val="20"/>
          <w:szCs w:val="20"/>
          <w:lang w:val="fr-FR"/>
        </w:rPr>
        <w:t>competitive</w:t>
      </w:r>
      <w:proofErr w:type="spellEnd"/>
      <w:r w:rsidRPr="00227A76">
        <w:rPr>
          <w:rFonts w:ascii="Palatino Linotype" w:hAnsi="Palatino Linotype"/>
          <w:bCs/>
          <w:sz w:val="20"/>
          <w:szCs w:val="20"/>
          <w:lang w:val="fr-FR"/>
        </w:rPr>
        <w:t xml:space="preserve"> and can </w:t>
      </w:r>
      <w:proofErr w:type="spellStart"/>
      <w:r w:rsidRPr="00227A76">
        <w:rPr>
          <w:rFonts w:ascii="Palatino Linotype" w:hAnsi="Palatino Linotype"/>
          <w:bCs/>
          <w:sz w:val="20"/>
          <w:szCs w:val="20"/>
          <w:lang w:val="fr-FR"/>
        </w:rPr>
        <w:t>compete</w:t>
      </w:r>
      <w:proofErr w:type="spellEnd"/>
      <w:r w:rsidRPr="00227A76">
        <w:rPr>
          <w:rFonts w:ascii="Palatino Linotype" w:hAnsi="Palatino Linotype"/>
          <w:bCs/>
          <w:sz w:val="20"/>
          <w:szCs w:val="20"/>
          <w:lang w:val="fr-FR"/>
        </w:rPr>
        <w:t xml:space="preserve"> </w:t>
      </w:r>
      <w:proofErr w:type="spellStart"/>
      <w:r w:rsidRPr="00227A76">
        <w:rPr>
          <w:rFonts w:ascii="Palatino Linotype" w:hAnsi="Palatino Linotype"/>
          <w:bCs/>
          <w:sz w:val="20"/>
          <w:szCs w:val="20"/>
          <w:lang w:val="fr-FR"/>
        </w:rPr>
        <w:t>with</w:t>
      </w:r>
      <w:proofErr w:type="spellEnd"/>
      <w:r w:rsidRPr="00227A76">
        <w:rPr>
          <w:rFonts w:ascii="Palatino Linotype" w:hAnsi="Palatino Linotype"/>
          <w:bCs/>
          <w:sz w:val="20"/>
          <w:szCs w:val="20"/>
          <w:lang w:val="fr-FR"/>
        </w:rPr>
        <w:t xml:space="preserve"> the </w:t>
      </w:r>
      <w:proofErr w:type="spellStart"/>
      <w:r w:rsidRPr="00227A76">
        <w:rPr>
          <w:rFonts w:ascii="Palatino Linotype" w:hAnsi="Palatino Linotype"/>
          <w:bCs/>
          <w:sz w:val="20"/>
          <w:szCs w:val="20"/>
          <w:lang w:val="fr-FR"/>
        </w:rPr>
        <w:t>banking</w:t>
      </w:r>
      <w:proofErr w:type="spellEnd"/>
      <w:r w:rsidRPr="00227A76">
        <w:rPr>
          <w:rFonts w:ascii="Palatino Linotype" w:hAnsi="Palatino Linotype"/>
          <w:bCs/>
          <w:sz w:val="20"/>
          <w:szCs w:val="20"/>
          <w:lang w:val="fr-FR"/>
        </w:rPr>
        <w:t xml:space="preserve"> </w:t>
      </w:r>
      <w:proofErr w:type="spellStart"/>
      <w:r w:rsidRPr="00227A76">
        <w:rPr>
          <w:rFonts w:ascii="Palatino Linotype" w:hAnsi="Palatino Linotype"/>
          <w:bCs/>
          <w:sz w:val="20"/>
          <w:szCs w:val="20"/>
          <w:lang w:val="fr-FR"/>
        </w:rPr>
        <w:t>industry</w:t>
      </w:r>
      <w:proofErr w:type="spellEnd"/>
      <w:r w:rsidRPr="00227A76">
        <w:rPr>
          <w:rFonts w:ascii="Palatino Linotype" w:hAnsi="Palatino Linotype"/>
          <w:bCs/>
          <w:sz w:val="20"/>
          <w:szCs w:val="20"/>
          <w:lang w:val="fr-FR"/>
        </w:rPr>
        <w:t xml:space="preserve"> and </w:t>
      </w:r>
      <w:proofErr w:type="spellStart"/>
      <w:r w:rsidRPr="00227A76">
        <w:rPr>
          <w:rFonts w:ascii="Palatino Linotype" w:hAnsi="Palatino Linotype"/>
          <w:bCs/>
          <w:sz w:val="20"/>
          <w:szCs w:val="20"/>
          <w:lang w:val="fr-FR"/>
        </w:rPr>
        <w:t>facilitate</w:t>
      </w:r>
      <w:proofErr w:type="spellEnd"/>
      <w:r w:rsidRPr="00227A76">
        <w:rPr>
          <w:rFonts w:ascii="Palatino Linotype" w:hAnsi="Palatino Linotype"/>
          <w:bCs/>
          <w:sz w:val="20"/>
          <w:szCs w:val="20"/>
          <w:lang w:val="fr-FR"/>
        </w:rPr>
        <w:t xml:space="preserve"> </w:t>
      </w:r>
      <w:proofErr w:type="spellStart"/>
      <w:r w:rsidRPr="00227A76">
        <w:rPr>
          <w:rFonts w:ascii="Palatino Linotype" w:hAnsi="Palatino Linotype"/>
          <w:bCs/>
          <w:sz w:val="20"/>
          <w:szCs w:val="20"/>
          <w:lang w:val="fr-FR"/>
        </w:rPr>
        <w:t>payments</w:t>
      </w:r>
      <w:proofErr w:type="spellEnd"/>
      <w:r w:rsidRPr="00227A76">
        <w:rPr>
          <w:rFonts w:ascii="Palatino Linotype" w:hAnsi="Palatino Linotype"/>
          <w:bCs/>
          <w:sz w:val="20"/>
          <w:szCs w:val="20"/>
          <w:lang w:val="fr-FR"/>
        </w:rPr>
        <w:t xml:space="preserve"> for </w:t>
      </w:r>
      <w:proofErr w:type="spellStart"/>
      <w:r w:rsidRPr="00227A76">
        <w:rPr>
          <w:rFonts w:ascii="Palatino Linotype" w:hAnsi="Palatino Linotype"/>
          <w:bCs/>
          <w:sz w:val="20"/>
          <w:szCs w:val="20"/>
          <w:lang w:val="fr-FR"/>
        </w:rPr>
        <w:t>users</w:t>
      </w:r>
      <w:proofErr w:type="spellEnd"/>
      <w:r w:rsidRPr="00227A76">
        <w:rPr>
          <w:rFonts w:ascii="Palatino Linotype" w:hAnsi="Palatino Linotype"/>
          <w:bCs/>
          <w:sz w:val="20"/>
          <w:szCs w:val="20"/>
          <w:lang w:val="fr-FR"/>
        </w:rPr>
        <w:t xml:space="preserve">, </w:t>
      </w:r>
      <w:proofErr w:type="spellStart"/>
      <w:r w:rsidRPr="00227A76">
        <w:rPr>
          <w:rFonts w:ascii="Palatino Linotype" w:hAnsi="Palatino Linotype"/>
          <w:bCs/>
          <w:sz w:val="20"/>
          <w:szCs w:val="20"/>
          <w:lang w:val="fr-FR"/>
        </w:rPr>
        <w:t>especially</w:t>
      </w:r>
      <w:proofErr w:type="spellEnd"/>
      <w:r w:rsidRPr="00227A76">
        <w:rPr>
          <w:rFonts w:ascii="Palatino Linotype" w:hAnsi="Palatino Linotype"/>
          <w:bCs/>
          <w:sz w:val="20"/>
          <w:szCs w:val="20"/>
          <w:lang w:val="fr-FR"/>
        </w:rPr>
        <w:t xml:space="preserve"> </w:t>
      </w:r>
      <w:proofErr w:type="spellStart"/>
      <w:r w:rsidRPr="00227A76">
        <w:rPr>
          <w:rFonts w:ascii="Palatino Linotype" w:hAnsi="Palatino Linotype"/>
          <w:bCs/>
          <w:sz w:val="20"/>
          <w:szCs w:val="20"/>
          <w:lang w:val="fr-FR"/>
        </w:rPr>
        <w:t>when</w:t>
      </w:r>
      <w:proofErr w:type="spellEnd"/>
      <w:r w:rsidRPr="00227A76">
        <w:rPr>
          <w:rFonts w:ascii="Palatino Linotype" w:hAnsi="Palatino Linotype"/>
          <w:bCs/>
          <w:sz w:val="20"/>
          <w:szCs w:val="20"/>
          <w:lang w:val="fr-FR"/>
        </w:rPr>
        <w:t xml:space="preserve"> </w:t>
      </w:r>
      <w:proofErr w:type="spellStart"/>
      <w:r w:rsidRPr="00227A76">
        <w:rPr>
          <w:rFonts w:ascii="Palatino Linotype" w:hAnsi="Palatino Linotype"/>
          <w:bCs/>
          <w:sz w:val="20"/>
          <w:szCs w:val="20"/>
          <w:lang w:val="fr-FR"/>
        </w:rPr>
        <w:t>repaying</w:t>
      </w:r>
      <w:proofErr w:type="spellEnd"/>
      <w:r w:rsidRPr="00227A76">
        <w:rPr>
          <w:rFonts w:ascii="Palatino Linotype" w:hAnsi="Palatino Linotype"/>
          <w:bCs/>
          <w:sz w:val="20"/>
          <w:szCs w:val="20"/>
          <w:lang w:val="fr-FR"/>
        </w:rPr>
        <w:t xml:space="preserve"> </w:t>
      </w:r>
      <w:proofErr w:type="spellStart"/>
      <w:r w:rsidRPr="00227A76">
        <w:rPr>
          <w:rFonts w:ascii="Palatino Linotype" w:hAnsi="Palatino Linotype"/>
          <w:bCs/>
          <w:sz w:val="20"/>
          <w:szCs w:val="20"/>
          <w:lang w:val="fr-FR"/>
        </w:rPr>
        <w:t>installments</w:t>
      </w:r>
      <w:proofErr w:type="spellEnd"/>
      <w:r w:rsidRPr="00227A76">
        <w:rPr>
          <w:rFonts w:ascii="Palatino Linotype" w:hAnsi="Palatino Linotype"/>
          <w:bCs/>
          <w:sz w:val="20"/>
          <w:szCs w:val="20"/>
          <w:lang w:val="fr-FR"/>
        </w:rPr>
        <w:t>.</w:t>
      </w:r>
    </w:p>
    <w:p w14:paraId="07645680" w14:textId="77777777" w:rsidR="00685D3B" w:rsidRPr="00BF06EA" w:rsidRDefault="00685D3B" w:rsidP="00227EFB">
      <w:pPr>
        <w:pStyle w:val="SubJudul"/>
        <w:spacing w:before="100" w:after="100"/>
        <w:ind w:left="284" w:hanging="284"/>
      </w:pPr>
      <w:r w:rsidRPr="00BF06EA">
        <w:t>Conclusions</w:t>
      </w:r>
    </w:p>
    <w:p w14:paraId="4BAB6039" w14:textId="77777777" w:rsidR="00227A76" w:rsidRPr="00227A76" w:rsidRDefault="00227A76" w:rsidP="00227A76">
      <w:pPr>
        <w:pStyle w:val="SubJudul"/>
        <w:numPr>
          <w:ilvl w:val="0"/>
          <w:numId w:val="0"/>
        </w:numPr>
        <w:rPr>
          <w:b w:val="0"/>
          <w:bCs/>
        </w:rPr>
      </w:pPr>
      <w:r w:rsidRPr="00227A76">
        <w:rPr>
          <w:b w:val="0"/>
          <w:bCs/>
        </w:rPr>
        <w:t xml:space="preserve">Correct understanding of FinTech Lending service users' needs will help service providers continue developing their platforms. Service providers must understand the problems and opportunities of FinTech Lending services from the perspective of the Indonesian people. This study proves that the factors proven to influence FinTech Lending services in Indonesia are Familiarity and Personal Innovativeness. The two factors have a path coefficient and </w:t>
      </w:r>
      <w:r w:rsidRPr="00227A76">
        <w:rPr>
          <w:b w:val="0"/>
          <w:bCs/>
          <w:i/>
          <w:iCs/>
        </w:rPr>
        <w:t>t-value</w:t>
      </w:r>
      <w:r w:rsidRPr="00227A76">
        <w:rPr>
          <w:b w:val="0"/>
          <w:bCs/>
        </w:rPr>
        <w:t>, respectively, which are Familiarity of 0.01 and 3.233; Personal Innovativeness of 0.016 and 2.417. These two factors are considered as opportunities from the FinTech Lending service. This research shows that the more information such as service descriptions, procedures, and lending procedures provided by FinTech service providers, the greater the user's desire to use FinTech Lending services. Besides, users accustomed to using services and familiar with the FinTech Lending platform's interface display will use the FinTech service. Users who desire to innovate are also likely to use FinTech Lending services, especially if these users are highly curious about the features, benefits, and ways of using the platform, and if users feel enjoyment when trying out a loan-based FinTech platform.</w:t>
      </w:r>
    </w:p>
    <w:p w14:paraId="1B44C07C" w14:textId="77777777" w:rsidR="00227A76" w:rsidRDefault="00227A76" w:rsidP="00227A76">
      <w:pPr>
        <w:pStyle w:val="SubJudul"/>
        <w:numPr>
          <w:ilvl w:val="0"/>
          <w:numId w:val="0"/>
        </w:numPr>
        <w:ind w:firstLine="567"/>
        <w:rPr>
          <w:b w:val="0"/>
          <w:bCs/>
          <w:lang w:val="nb-NO"/>
        </w:rPr>
      </w:pPr>
      <w:r w:rsidRPr="00227A76">
        <w:rPr>
          <w:b w:val="0"/>
          <w:bCs/>
        </w:rPr>
        <w:t>This research also produces findings that are useful as recommendations for FinTech Lending service providers in Indonesia. This finding is that  FinTech Lending service providers can begin to introduce</w:t>
      </w:r>
      <w:r w:rsidRPr="00227A76">
        <w:rPr>
          <w:b w:val="0"/>
          <w:bCs/>
          <w:lang w:val="nb-NO"/>
        </w:rPr>
        <w:t xml:space="preserve"> their services intensively on digital media. Besides that, it is crucial for service providers to ensure that their business has been registered and has a business license listed on the OJK website. FinTech Lending service providers in Indonesia also need to evaluate interest rates periodically to ensure that the offered interest rates are competitive and facilitate the repayment of installments for users.</w:t>
      </w:r>
    </w:p>
    <w:p w14:paraId="2C58F59D" w14:textId="3BEA0168" w:rsidR="00227A76" w:rsidRPr="00227A76" w:rsidRDefault="00227A76" w:rsidP="00227A76">
      <w:pPr>
        <w:pStyle w:val="SubJudul"/>
        <w:numPr>
          <w:ilvl w:val="0"/>
          <w:numId w:val="0"/>
        </w:numPr>
        <w:ind w:firstLine="567"/>
        <w:rPr>
          <w:b w:val="0"/>
          <w:bCs/>
          <w:lang w:val="nb-NO"/>
        </w:rPr>
      </w:pPr>
      <w:r w:rsidRPr="00227A76">
        <w:rPr>
          <w:b w:val="0"/>
          <w:bCs/>
        </w:rPr>
        <w:t>This research still has shortcomings, such as the geographic location used does not fully cover all parts of Indonesia. Also, this study's drawback is that the number of samples is still limited with a specific age range of respondents, namely the younger generation with an age range of 20-25 years. Recommendations for further research involve business owners and businesses as respondents because they are accustomed to using loan services from the financial industry. Also, further research can design models with more and more various variables. It can relate to other models such as Technology-Organization-Environment (TOE) if it involves respondents from business owners.</w:t>
      </w:r>
    </w:p>
    <w:bookmarkStart w:id="0" w:name="_Ref15460488" w:displacedByCustomXml="next"/>
    <w:sdt>
      <w:sdtPr>
        <w:rPr>
          <w:rFonts w:ascii="Palatino Linotype" w:eastAsiaTheme="minorHAnsi" w:hAnsi="Palatino Linotype" w:cstheme="minorBidi"/>
          <w:color w:val="auto"/>
          <w:sz w:val="20"/>
          <w:szCs w:val="20"/>
        </w:rPr>
        <w:id w:val="-462266046"/>
        <w:docPartObj>
          <w:docPartGallery w:val="Bibliographies"/>
          <w:docPartUnique/>
        </w:docPartObj>
      </w:sdtPr>
      <w:sdtEndPr>
        <w:rPr>
          <w:rFonts w:eastAsia="SimSun"/>
        </w:rPr>
      </w:sdtEndPr>
      <w:sdtContent>
        <w:p w14:paraId="09AD7EFF" w14:textId="68CE248B" w:rsidR="009F53CB" w:rsidRPr="00227EFB" w:rsidRDefault="00227A76" w:rsidP="00227EFB">
          <w:pPr>
            <w:pStyle w:val="Heading1"/>
            <w:spacing w:before="100" w:after="100" w:line="240" w:lineRule="auto"/>
            <w:ind w:left="284" w:hanging="284"/>
            <w:rPr>
              <w:rFonts w:ascii="Palatino Linotype" w:eastAsia="SimSun" w:hAnsi="Palatino Linotype" w:cstheme="minorBidi"/>
              <w:b/>
              <w:color w:val="auto"/>
              <w:sz w:val="20"/>
              <w:szCs w:val="22"/>
              <w:lang w:val="en-ID"/>
            </w:rPr>
          </w:pPr>
          <w:r w:rsidRPr="00227EFB">
            <w:rPr>
              <w:rFonts w:ascii="Palatino Linotype" w:eastAsia="SimSun" w:hAnsi="Palatino Linotype" w:cstheme="minorBidi"/>
              <w:b/>
              <w:color w:val="auto"/>
              <w:sz w:val="20"/>
              <w:szCs w:val="22"/>
              <w:lang w:val="en-ID"/>
            </w:rPr>
            <w:t xml:space="preserve">6. </w:t>
          </w:r>
          <w:r w:rsidR="009F53CB" w:rsidRPr="00227EFB">
            <w:rPr>
              <w:rFonts w:ascii="Palatino Linotype" w:eastAsia="SimSun" w:hAnsi="Palatino Linotype" w:cstheme="minorBidi"/>
              <w:b/>
              <w:color w:val="auto"/>
              <w:sz w:val="20"/>
              <w:szCs w:val="22"/>
              <w:lang w:val="en-ID"/>
            </w:rPr>
            <w:t>References</w:t>
          </w:r>
          <w:bookmarkEnd w:id="0"/>
        </w:p>
        <w:sdt>
          <w:sdtPr>
            <w:rPr>
              <w:rFonts w:ascii="Palatino Linotype" w:hAnsi="Palatino Linotype"/>
              <w:sz w:val="20"/>
              <w:szCs w:val="20"/>
            </w:rPr>
            <w:id w:val="-573587230"/>
            <w:bibliography/>
          </w:sdtPr>
          <w:sdtEndPr/>
          <w:sdtContent>
            <w:p w14:paraId="0919E3F8" w14:textId="1EB0BB73" w:rsidR="00601DF4" w:rsidRPr="00601DF4" w:rsidRDefault="00227A76" w:rsidP="009169DA">
              <w:pPr>
                <w:widowControl w:val="0"/>
                <w:autoSpaceDE w:val="0"/>
                <w:autoSpaceDN w:val="0"/>
                <w:adjustRightInd w:val="0"/>
                <w:spacing w:after="0" w:line="240" w:lineRule="auto"/>
                <w:ind w:left="640" w:hanging="640"/>
                <w:jc w:val="both"/>
                <w:rPr>
                  <w:rFonts w:ascii="Palatino Linotype" w:hAnsi="Palatino Linotype" w:cs="Times New Roman"/>
                  <w:noProof/>
                  <w:sz w:val="20"/>
                  <w:szCs w:val="24"/>
                </w:rPr>
              </w:pPr>
              <w:r>
                <w:fldChar w:fldCharType="begin" w:fldLock="1"/>
              </w:r>
              <w:r>
                <w:instrText xml:space="preserve">ADDIN Mendeley Bibliography CSL_BIBLIOGRAPHY </w:instrText>
              </w:r>
              <w:r>
                <w:fldChar w:fldCharType="separate"/>
              </w:r>
              <w:r w:rsidR="00601DF4" w:rsidRPr="00601DF4">
                <w:rPr>
                  <w:rFonts w:ascii="Palatino Linotype" w:hAnsi="Palatino Linotype" w:cs="Times New Roman"/>
                  <w:noProof/>
                  <w:sz w:val="20"/>
                  <w:szCs w:val="24"/>
                </w:rPr>
                <w:t>[1]</w:t>
              </w:r>
              <w:r w:rsidR="00601DF4" w:rsidRPr="00601DF4">
                <w:rPr>
                  <w:rFonts w:ascii="Palatino Linotype" w:hAnsi="Palatino Linotype" w:cs="Times New Roman"/>
                  <w:noProof/>
                  <w:sz w:val="20"/>
                  <w:szCs w:val="24"/>
                </w:rPr>
                <w:tab/>
                <w:t xml:space="preserve">APJII, “Penetrasi &amp; profil perilaku pengguna Internet Indonesia 2018,” </w:t>
              </w:r>
              <w:r w:rsidR="00601DF4" w:rsidRPr="00601DF4">
                <w:rPr>
                  <w:rFonts w:ascii="Palatino Linotype" w:hAnsi="Palatino Linotype" w:cs="Times New Roman"/>
                  <w:i/>
                  <w:iCs/>
                  <w:noProof/>
                  <w:sz w:val="20"/>
                  <w:szCs w:val="24"/>
                </w:rPr>
                <w:t>Jakarta</w:t>
              </w:r>
              <w:r w:rsidR="00601DF4" w:rsidRPr="00601DF4">
                <w:rPr>
                  <w:rFonts w:ascii="Palatino Linotype" w:hAnsi="Palatino Linotype" w:cs="Times New Roman"/>
                  <w:noProof/>
                  <w:sz w:val="20"/>
                  <w:szCs w:val="24"/>
                </w:rPr>
                <w:t xml:space="preserve">, 2018. </w:t>
              </w:r>
            </w:p>
            <w:p w14:paraId="414B60BF" w14:textId="59C1905A" w:rsidR="00601DF4" w:rsidRPr="00601DF4" w:rsidRDefault="00601DF4" w:rsidP="009169DA">
              <w:pPr>
                <w:widowControl w:val="0"/>
                <w:autoSpaceDE w:val="0"/>
                <w:autoSpaceDN w:val="0"/>
                <w:adjustRightInd w:val="0"/>
                <w:spacing w:after="0" w:line="240" w:lineRule="auto"/>
                <w:ind w:left="640" w:hanging="640"/>
                <w:jc w:val="both"/>
                <w:rPr>
                  <w:rFonts w:ascii="Palatino Linotype" w:hAnsi="Palatino Linotype" w:cs="Times New Roman"/>
                  <w:noProof/>
                  <w:sz w:val="20"/>
                  <w:szCs w:val="24"/>
                </w:rPr>
              </w:pPr>
              <w:r w:rsidRPr="00601DF4">
                <w:rPr>
                  <w:rFonts w:ascii="Palatino Linotype" w:hAnsi="Palatino Linotype" w:cs="Times New Roman"/>
                  <w:noProof/>
                  <w:sz w:val="20"/>
                  <w:szCs w:val="24"/>
                </w:rPr>
                <w:t>[2]</w:t>
              </w:r>
              <w:r w:rsidRPr="00601DF4">
                <w:rPr>
                  <w:rFonts w:ascii="Palatino Linotype" w:hAnsi="Palatino Linotype" w:cs="Times New Roman"/>
                  <w:noProof/>
                  <w:sz w:val="20"/>
                  <w:szCs w:val="24"/>
                </w:rPr>
                <w:tab/>
                <w:t xml:space="preserve">M. Moslehpour, V. K. Pham, W. K. Wong, and I. Bilgiçli, “e-purchase intention of Taiwanese consumers: Sustainable mediation of perceived usefulness and perceived ease of use,” </w:t>
              </w:r>
              <w:r w:rsidRPr="00601DF4">
                <w:rPr>
                  <w:rFonts w:ascii="Palatino Linotype" w:hAnsi="Palatino Linotype" w:cs="Times New Roman"/>
                  <w:i/>
                  <w:iCs/>
                  <w:noProof/>
                  <w:sz w:val="20"/>
                  <w:szCs w:val="24"/>
                </w:rPr>
                <w:t>Sustain</w:t>
              </w:r>
              <w:r w:rsidR="008B29CF">
                <w:rPr>
                  <w:rFonts w:ascii="Palatino Linotype" w:hAnsi="Palatino Linotype" w:cs="Times New Roman"/>
                  <w:i/>
                  <w:iCs/>
                  <w:noProof/>
                  <w:sz w:val="20"/>
                  <w:szCs w:val="24"/>
                </w:rPr>
                <w:t>ability</w:t>
              </w:r>
              <w:r w:rsidRPr="00601DF4">
                <w:rPr>
                  <w:rFonts w:ascii="Palatino Linotype" w:hAnsi="Palatino Linotype" w:cs="Times New Roman"/>
                  <w:noProof/>
                  <w:sz w:val="20"/>
                  <w:szCs w:val="24"/>
                </w:rPr>
                <w:t>, vol. 10, no. 1, 2018.</w:t>
              </w:r>
            </w:p>
            <w:p w14:paraId="03CB51B3" w14:textId="209853CE" w:rsidR="00601DF4" w:rsidRPr="00601DF4" w:rsidRDefault="00601DF4" w:rsidP="009169DA">
              <w:pPr>
                <w:widowControl w:val="0"/>
                <w:autoSpaceDE w:val="0"/>
                <w:autoSpaceDN w:val="0"/>
                <w:adjustRightInd w:val="0"/>
                <w:spacing w:after="0" w:line="240" w:lineRule="auto"/>
                <w:ind w:left="640" w:hanging="640"/>
                <w:jc w:val="both"/>
                <w:rPr>
                  <w:rFonts w:ascii="Palatino Linotype" w:hAnsi="Palatino Linotype" w:cs="Times New Roman"/>
                  <w:noProof/>
                  <w:sz w:val="20"/>
                  <w:szCs w:val="24"/>
                </w:rPr>
              </w:pPr>
              <w:r w:rsidRPr="00601DF4">
                <w:rPr>
                  <w:rFonts w:ascii="Palatino Linotype" w:hAnsi="Palatino Linotype" w:cs="Times New Roman"/>
                  <w:noProof/>
                  <w:sz w:val="20"/>
                  <w:szCs w:val="24"/>
                </w:rPr>
                <w:t>[3]</w:t>
              </w:r>
              <w:r w:rsidRPr="00601DF4">
                <w:rPr>
                  <w:rFonts w:ascii="Palatino Linotype" w:hAnsi="Palatino Linotype" w:cs="Times New Roman"/>
                  <w:noProof/>
                  <w:sz w:val="20"/>
                  <w:szCs w:val="24"/>
                </w:rPr>
                <w:tab/>
                <w:t xml:space="preserve">Darmansyah, B. A. Fianto, A. Hendratmi, and P. F. Aziz, “Factors determining behavioral intentions to use Islamic financial technology: Three competing models,” </w:t>
              </w:r>
              <w:r w:rsidRPr="00601DF4">
                <w:rPr>
                  <w:rFonts w:ascii="Palatino Linotype" w:hAnsi="Palatino Linotype" w:cs="Times New Roman"/>
                  <w:i/>
                  <w:iCs/>
                  <w:noProof/>
                  <w:sz w:val="20"/>
                  <w:szCs w:val="24"/>
                </w:rPr>
                <w:t>J</w:t>
              </w:r>
              <w:r w:rsidR="008B29CF">
                <w:rPr>
                  <w:rFonts w:ascii="Palatino Linotype" w:hAnsi="Palatino Linotype" w:cs="Times New Roman"/>
                  <w:i/>
                  <w:iCs/>
                  <w:noProof/>
                  <w:sz w:val="20"/>
                  <w:szCs w:val="24"/>
                </w:rPr>
                <w:t>ournal of</w:t>
              </w:r>
              <w:r w:rsidRPr="00601DF4">
                <w:rPr>
                  <w:rFonts w:ascii="Palatino Linotype" w:hAnsi="Palatino Linotype" w:cs="Times New Roman"/>
                  <w:i/>
                  <w:iCs/>
                  <w:noProof/>
                  <w:sz w:val="20"/>
                  <w:szCs w:val="24"/>
                </w:rPr>
                <w:t xml:space="preserve"> Islam</w:t>
              </w:r>
              <w:r w:rsidR="008B29CF">
                <w:rPr>
                  <w:rFonts w:ascii="Palatino Linotype" w:hAnsi="Palatino Linotype" w:cs="Times New Roman"/>
                  <w:i/>
                  <w:iCs/>
                  <w:noProof/>
                  <w:sz w:val="20"/>
                  <w:szCs w:val="24"/>
                </w:rPr>
                <w:t>ic</w:t>
              </w:r>
              <w:r w:rsidRPr="00601DF4">
                <w:rPr>
                  <w:rFonts w:ascii="Palatino Linotype" w:hAnsi="Palatino Linotype" w:cs="Times New Roman"/>
                  <w:i/>
                  <w:iCs/>
                  <w:noProof/>
                  <w:sz w:val="20"/>
                  <w:szCs w:val="24"/>
                </w:rPr>
                <w:t xml:space="preserve"> Mark</w:t>
              </w:r>
              <w:r w:rsidR="008B29CF">
                <w:rPr>
                  <w:rFonts w:ascii="Palatino Linotype" w:hAnsi="Palatino Linotype" w:cs="Times New Roman"/>
                  <w:i/>
                  <w:iCs/>
                  <w:noProof/>
                  <w:sz w:val="20"/>
                  <w:szCs w:val="24"/>
                </w:rPr>
                <w:t>eting</w:t>
              </w:r>
              <w:r w:rsidR="008B29CF">
                <w:rPr>
                  <w:rFonts w:ascii="Palatino Linotype" w:hAnsi="Palatino Linotype" w:cs="Times New Roman"/>
                  <w:noProof/>
                  <w:sz w:val="20"/>
                  <w:szCs w:val="24"/>
                </w:rPr>
                <w:t>, Edition</w:t>
              </w:r>
              <w:r w:rsidRPr="00601DF4">
                <w:rPr>
                  <w:rFonts w:ascii="Palatino Linotype" w:hAnsi="Palatino Linotype" w:cs="Times New Roman"/>
                  <w:noProof/>
                  <w:sz w:val="20"/>
                  <w:szCs w:val="24"/>
                </w:rPr>
                <w:t xml:space="preserve"> August 2019, 2020.</w:t>
              </w:r>
            </w:p>
            <w:p w14:paraId="2A09F4C7" w14:textId="4D0266F4" w:rsidR="00601DF4" w:rsidRPr="00601DF4" w:rsidRDefault="00601DF4" w:rsidP="009169DA">
              <w:pPr>
                <w:widowControl w:val="0"/>
                <w:autoSpaceDE w:val="0"/>
                <w:autoSpaceDN w:val="0"/>
                <w:adjustRightInd w:val="0"/>
                <w:spacing w:after="0" w:line="240" w:lineRule="auto"/>
                <w:ind w:left="640" w:hanging="640"/>
                <w:jc w:val="both"/>
                <w:rPr>
                  <w:rFonts w:ascii="Palatino Linotype" w:hAnsi="Palatino Linotype" w:cs="Times New Roman"/>
                  <w:noProof/>
                  <w:sz w:val="20"/>
                  <w:szCs w:val="24"/>
                </w:rPr>
              </w:pPr>
              <w:r w:rsidRPr="00601DF4">
                <w:rPr>
                  <w:rFonts w:ascii="Palatino Linotype" w:hAnsi="Palatino Linotype" w:cs="Times New Roman"/>
                  <w:noProof/>
                  <w:sz w:val="20"/>
                  <w:szCs w:val="24"/>
                </w:rPr>
                <w:t>[4]</w:t>
              </w:r>
              <w:r w:rsidRPr="00601DF4">
                <w:rPr>
                  <w:rFonts w:ascii="Palatino Linotype" w:hAnsi="Palatino Linotype" w:cs="Times New Roman"/>
                  <w:noProof/>
                  <w:sz w:val="20"/>
                  <w:szCs w:val="24"/>
                </w:rPr>
                <w:tab/>
                <w:t xml:space="preserve">Y. Ma and D. Liu, “Introduction to the special issue on Crowdfunding and FinTech,” </w:t>
              </w:r>
              <w:r w:rsidRPr="00601DF4">
                <w:rPr>
                  <w:rFonts w:ascii="Palatino Linotype" w:hAnsi="Palatino Linotype" w:cs="Times New Roman"/>
                  <w:i/>
                  <w:iCs/>
                  <w:noProof/>
                  <w:sz w:val="20"/>
                  <w:szCs w:val="24"/>
                </w:rPr>
                <w:t>Financ</w:t>
              </w:r>
              <w:r w:rsidR="001807FD">
                <w:rPr>
                  <w:rFonts w:ascii="Palatino Linotype" w:hAnsi="Palatino Linotype" w:cs="Times New Roman"/>
                  <w:i/>
                  <w:iCs/>
                  <w:noProof/>
                  <w:sz w:val="20"/>
                  <w:szCs w:val="24"/>
                </w:rPr>
                <w:t>e</w:t>
              </w:r>
              <w:r w:rsidRPr="00601DF4">
                <w:rPr>
                  <w:rFonts w:ascii="Palatino Linotype" w:hAnsi="Palatino Linotype" w:cs="Times New Roman"/>
                  <w:i/>
                  <w:iCs/>
                  <w:noProof/>
                  <w:sz w:val="20"/>
                  <w:szCs w:val="24"/>
                </w:rPr>
                <w:t>. Innov</w:t>
              </w:r>
              <w:r w:rsidR="001807FD">
                <w:rPr>
                  <w:rFonts w:ascii="Palatino Linotype" w:hAnsi="Palatino Linotype" w:cs="Times New Roman"/>
                  <w:i/>
                  <w:iCs/>
                  <w:noProof/>
                  <w:sz w:val="20"/>
                  <w:szCs w:val="24"/>
                </w:rPr>
                <w:t>ation</w:t>
              </w:r>
              <w:r w:rsidRPr="00601DF4">
                <w:rPr>
                  <w:rFonts w:ascii="Palatino Linotype" w:hAnsi="Palatino Linotype" w:cs="Times New Roman"/>
                  <w:noProof/>
                  <w:sz w:val="20"/>
                  <w:szCs w:val="24"/>
                </w:rPr>
                <w:t>, vol. 3, no. 1, pp. 3–6, 2017.</w:t>
              </w:r>
            </w:p>
            <w:p w14:paraId="5B004B56" w14:textId="77777777" w:rsidR="00601DF4" w:rsidRPr="00601DF4" w:rsidRDefault="00601DF4" w:rsidP="009169DA">
              <w:pPr>
                <w:widowControl w:val="0"/>
                <w:autoSpaceDE w:val="0"/>
                <w:autoSpaceDN w:val="0"/>
                <w:adjustRightInd w:val="0"/>
                <w:spacing w:after="0" w:line="240" w:lineRule="auto"/>
                <w:ind w:left="640" w:hanging="640"/>
                <w:jc w:val="both"/>
                <w:rPr>
                  <w:rFonts w:ascii="Palatino Linotype" w:hAnsi="Palatino Linotype" w:cs="Times New Roman"/>
                  <w:noProof/>
                  <w:sz w:val="20"/>
                  <w:szCs w:val="24"/>
                </w:rPr>
              </w:pPr>
              <w:r w:rsidRPr="00601DF4">
                <w:rPr>
                  <w:rFonts w:ascii="Palatino Linotype" w:hAnsi="Palatino Linotype" w:cs="Times New Roman"/>
                  <w:noProof/>
                  <w:sz w:val="20"/>
                  <w:szCs w:val="24"/>
                </w:rPr>
                <w:t>[5]</w:t>
              </w:r>
              <w:r w:rsidRPr="00601DF4">
                <w:rPr>
                  <w:rFonts w:ascii="Palatino Linotype" w:hAnsi="Palatino Linotype" w:cs="Times New Roman"/>
                  <w:noProof/>
                  <w:sz w:val="20"/>
                  <w:szCs w:val="24"/>
                </w:rPr>
                <w:tab/>
                <w:t>Ernst &amp; Young, “Global FinTech Adoption Index 2019, https://fintechauscensus.ey.com/2019/Documents/ey-global-fintech-adoption-index-2019.pdf,” pp. 1–44, 2019.</w:t>
              </w:r>
            </w:p>
            <w:p w14:paraId="3557024D" w14:textId="1463A32D" w:rsidR="00601DF4" w:rsidRPr="00601DF4" w:rsidRDefault="00601DF4" w:rsidP="009169DA">
              <w:pPr>
                <w:widowControl w:val="0"/>
                <w:autoSpaceDE w:val="0"/>
                <w:autoSpaceDN w:val="0"/>
                <w:adjustRightInd w:val="0"/>
                <w:spacing w:after="0" w:line="240" w:lineRule="auto"/>
                <w:ind w:left="640" w:hanging="640"/>
                <w:jc w:val="both"/>
                <w:rPr>
                  <w:rFonts w:ascii="Palatino Linotype" w:hAnsi="Palatino Linotype" w:cs="Times New Roman"/>
                  <w:noProof/>
                  <w:sz w:val="20"/>
                  <w:szCs w:val="24"/>
                </w:rPr>
              </w:pPr>
              <w:r w:rsidRPr="00601DF4">
                <w:rPr>
                  <w:rFonts w:ascii="Palatino Linotype" w:hAnsi="Palatino Linotype" w:cs="Times New Roman"/>
                  <w:noProof/>
                  <w:sz w:val="20"/>
                  <w:szCs w:val="24"/>
                </w:rPr>
                <w:t>[6]</w:t>
              </w:r>
              <w:r w:rsidRPr="00601DF4">
                <w:rPr>
                  <w:rFonts w:ascii="Palatino Linotype" w:hAnsi="Palatino Linotype" w:cs="Times New Roman"/>
                  <w:noProof/>
                  <w:sz w:val="20"/>
                  <w:szCs w:val="24"/>
                </w:rPr>
                <w:tab/>
                <w:t xml:space="preserve">K. L. Tang, C. K. Ooi, and J. B. Chong, “Perceived Risk Factors Affect Intention To Use FinTech,” </w:t>
              </w:r>
              <w:r w:rsidRPr="00601DF4">
                <w:rPr>
                  <w:rFonts w:ascii="Palatino Linotype" w:hAnsi="Palatino Linotype" w:cs="Times New Roman"/>
                  <w:i/>
                  <w:iCs/>
                  <w:noProof/>
                  <w:sz w:val="20"/>
                  <w:szCs w:val="24"/>
                </w:rPr>
                <w:t>J</w:t>
              </w:r>
              <w:r w:rsidR="001807FD">
                <w:rPr>
                  <w:rFonts w:ascii="Palatino Linotype" w:hAnsi="Palatino Linotype" w:cs="Times New Roman"/>
                  <w:i/>
                  <w:iCs/>
                  <w:noProof/>
                  <w:sz w:val="20"/>
                  <w:szCs w:val="24"/>
                </w:rPr>
                <w:t>ournal</w:t>
              </w:r>
              <w:r w:rsidRPr="00601DF4">
                <w:rPr>
                  <w:rFonts w:ascii="Palatino Linotype" w:hAnsi="Palatino Linotype" w:cs="Times New Roman"/>
                  <w:i/>
                  <w:iCs/>
                  <w:noProof/>
                  <w:sz w:val="20"/>
                  <w:szCs w:val="24"/>
                </w:rPr>
                <w:t xml:space="preserve"> </w:t>
              </w:r>
              <w:r w:rsidR="001807FD">
                <w:rPr>
                  <w:rFonts w:ascii="Palatino Linotype" w:hAnsi="Palatino Linotype" w:cs="Times New Roman"/>
                  <w:i/>
                  <w:iCs/>
                  <w:noProof/>
                  <w:sz w:val="20"/>
                  <w:szCs w:val="24"/>
                </w:rPr>
                <w:t xml:space="preserve">of </w:t>
              </w:r>
              <w:r w:rsidRPr="00601DF4">
                <w:rPr>
                  <w:rFonts w:ascii="Palatino Linotype" w:hAnsi="Palatino Linotype" w:cs="Times New Roman"/>
                  <w:i/>
                  <w:iCs/>
                  <w:noProof/>
                  <w:sz w:val="20"/>
                  <w:szCs w:val="24"/>
                </w:rPr>
                <w:t>Account</w:t>
              </w:r>
              <w:r w:rsidR="001807FD">
                <w:rPr>
                  <w:rFonts w:ascii="Palatino Linotype" w:hAnsi="Palatino Linotype" w:cs="Times New Roman"/>
                  <w:i/>
                  <w:iCs/>
                  <w:noProof/>
                  <w:sz w:val="20"/>
                  <w:szCs w:val="24"/>
                </w:rPr>
                <w:t>ing and</w:t>
              </w:r>
              <w:r w:rsidRPr="00601DF4">
                <w:rPr>
                  <w:rFonts w:ascii="Palatino Linotype" w:hAnsi="Palatino Linotype" w:cs="Times New Roman"/>
                  <w:i/>
                  <w:iCs/>
                  <w:noProof/>
                  <w:sz w:val="20"/>
                  <w:szCs w:val="24"/>
                </w:rPr>
                <w:t xml:space="preserve"> Financ</w:t>
              </w:r>
              <w:r w:rsidR="001807FD">
                <w:rPr>
                  <w:rFonts w:ascii="Palatino Linotype" w:hAnsi="Palatino Linotype" w:cs="Times New Roman"/>
                  <w:i/>
                  <w:iCs/>
                  <w:noProof/>
                  <w:sz w:val="20"/>
                  <w:szCs w:val="24"/>
                </w:rPr>
                <w:t>e</w:t>
              </w:r>
              <w:r w:rsidRPr="00601DF4">
                <w:rPr>
                  <w:rFonts w:ascii="Palatino Linotype" w:hAnsi="Palatino Linotype" w:cs="Times New Roman"/>
                  <w:i/>
                  <w:iCs/>
                  <w:noProof/>
                  <w:sz w:val="20"/>
                  <w:szCs w:val="24"/>
                </w:rPr>
                <w:t xml:space="preserve"> </w:t>
              </w:r>
              <w:r w:rsidR="001807FD">
                <w:rPr>
                  <w:rFonts w:ascii="Palatino Linotype" w:hAnsi="Palatino Linotype" w:cs="Times New Roman"/>
                  <w:i/>
                  <w:iCs/>
                  <w:noProof/>
                  <w:sz w:val="20"/>
                  <w:szCs w:val="24"/>
                </w:rPr>
                <w:t xml:space="preserve">in </w:t>
              </w:r>
              <w:r w:rsidRPr="00601DF4">
                <w:rPr>
                  <w:rFonts w:ascii="Palatino Linotype" w:hAnsi="Palatino Linotype" w:cs="Times New Roman"/>
                  <w:i/>
                  <w:iCs/>
                  <w:noProof/>
                  <w:sz w:val="20"/>
                  <w:szCs w:val="24"/>
                </w:rPr>
                <w:t>Emerg</w:t>
              </w:r>
              <w:r w:rsidR="001807FD">
                <w:rPr>
                  <w:rFonts w:ascii="Palatino Linotype" w:hAnsi="Palatino Linotype" w:cs="Times New Roman"/>
                  <w:i/>
                  <w:iCs/>
                  <w:noProof/>
                  <w:sz w:val="20"/>
                  <w:szCs w:val="24"/>
                </w:rPr>
                <w:t>ing</w:t>
              </w:r>
              <w:r w:rsidRPr="00601DF4">
                <w:rPr>
                  <w:rFonts w:ascii="Palatino Linotype" w:hAnsi="Palatino Linotype" w:cs="Times New Roman"/>
                  <w:i/>
                  <w:iCs/>
                  <w:noProof/>
                  <w:sz w:val="20"/>
                  <w:szCs w:val="24"/>
                </w:rPr>
                <w:t xml:space="preserve"> Econ</w:t>
              </w:r>
              <w:r w:rsidR="001807FD">
                <w:rPr>
                  <w:rFonts w:ascii="Palatino Linotype" w:hAnsi="Palatino Linotype" w:cs="Times New Roman"/>
                  <w:i/>
                  <w:iCs/>
                  <w:noProof/>
                  <w:sz w:val="20"/>
                  <w:szCs w:val="24"/>
                </w:rPr>
                <w:t>omies</w:t>
              </w:r>
              <w:r w:rsidRPr="00601DF4">
                <w:rPr>
                  <w:rFonts w:ascii="Palatino Linotype" w:hAnsi="Palatino Linotype" w:cs="Times New Roman"/>
                  <w:noProof/>
                  <w:sz w:val="20"/>
                  <w:szCs w:val="24"/>
                </w:rPr>
                <w:t>, vol. 6, no. 2, pp. 453–463, 2020.</w:t>
              </w:r>
            </w:p>
            <w:p w14:paraId="66001891" w14:textId="4A607570" w:rsidR="00601DF4" w:rsidRPr="00601DF4" w:rsidRDefault="00601DF4" w:rsidP="009169DA">
              <w:pPr>
                <w:widowControl w:val="0"/>
                <w:autoSpaceDE w:val="0"/>
                <w:autoSpaceDN w:val="0"/>
                <w:adjustRightInd w:val="0"/>
                <w:spacing w:after="0" w:line="240" w:lineRule="auto"/>
                <w:ind w:left="640" w:hanging="640"/>
                <w:jc w:val="both"/>
                <w:rPr>
                  <w:rFonts w:ascii="Palatino Linotype" w:hAnsi="Palatino Linotype" w:cs="Times New Roman"/>
                  <w:noProof/>
                  <w:sz w:val="20"/>
                  <w:szCs w:val="24"/>
                </w:rPr>
              </w:pPr>
              <w:r w:rsidRPr="00601DF4">
                <w:rPr>
                  <w:rFonts w:ascii="Palatino Linotype" w:hAnsi="Palatino Linotype" w:cs="Times New Roman"/>
                  <w:noProof/>
                  <w:sz w:val="20"/>
                  <w:szCs w:val="24"/>
                </w:rPr>
                <w:t>[7]</w:t>
              </w:r>
              <w:r w:rsidRPr="00601DF4">
                <w:rPr>
                  <w:rFonts w:ascii="Palatino Linotype" w:hAnsi="Palatino Linotype" w:cs="Times New Roman"/>
                  <w:noProof/>
                  <w:sz w:val="20"/>
                  <w:szCs w:val="24"/>
                </w:rPr>
                <w:tab/>
                <w:t xml:space="preserve">G. Kou, “Introduction to the special issue on FinTech,” </w:t>
              </w:r>
              <w:r w:rsidRPr="00601DF4">
                <w:rPr>
                  <w:rFonts w:ascii="Palatino Linotype" w:hAnsi="Palatino Linotype" w:cs="Times New Roman"/>
                  <w:i/>
                  <w:iCs/>
                  <w:noProof/>
                  <w:sz w:val="20"/>
                  <w:szCs w:val="24"/>
                </w:rPr>
                <w:t>Financ</w:t>
              </w:r>
              <w:r w:rsidR="001807FD">
                <w:rPr>
                  <w:rFonts w:ascii="Palatino Linotype" w:hAnsi="Palatino Linotype" w:cs="Times New Roman"/>
                  <w:i/>
                  <w:iCs/>
                  <w:noProof/>
                  <w:sz w:val="20"/>
                  <w:szCs w:val="24"/>
                </w:rPr>
                <w:t>ial</w:t>
              </w:r>
              <w:r w:rsidRPr="00601DF4">
                <w:rPr>
                  <w:rFonts w:ascii="Palatino Linotype" w:hAnsi="Palatino Linotype" w:cs="Times New Roman"/>
                  <w:i/>
                  <w:iCs/>
                  <w:noProof/>
                  <w:sz w:val="20"/>
                  <w:szCs w:val="24"/>
                </w:rPr>
                <w:t xml:space="preserve"> Innov</w:t>
              </w:r>
              <w:r w:rsidR="001807FD">
                <w:rPr>
                  <w:rFonts w:ascii="Palatino Linotype" w:hAnsi="Palatino Linotype" w:cs="Times New Roman"/>
                  <w:i/>
                  <w:iCs/>
                  <w:noProof/>
                  <w:sz w:val="20"/>
                  <w:szCs w:val="24"/>
                </w:rPr>
                <w:t>ation</w:t>
              </w:r>
              <w:r w:rsidRPr="00601DF4">
                <w:rPr>
                  <w:rFonts w:ascii="Palatino Linotype" w:hAnsi="Palatino Linotype" w:cs="Times New Roman"/>
                  <w:noProof/>
                  <w:sz w:val="20"/>
                  <w:szCs w:val="24"/>
                </w:rPr>
                <w:t>, vol. 5, no. 1, pp. 4–6, 2019.</w:t>
              </w:r>
            </w:p>
            <w:p w14:paraId="2CBB4F4A" w14:textId="77777777" w:rsidR="00601DF4" w:rsidRPr="00601DF4" w:rsidRDefault="00601DF4" w:rsidP="009169DA">
              <w:pPr>
                <w:widowControl w:val="0"/>
                <w:autoSpaceDE w:val="0"/>
                <w:autoSpaceDN w:val="0"/>
                <w:adjustRightInd w:val="0"/>
                <w:spacing w:after="0" w:line="240" w:lineRule="auto"/>
                <w:ind w:left="640" w:hanging="640"/>
                <w:jc w:val="both"/>
                <w:rPr>
                  <w:rFonts w:ascii="Palatino Linotype" w:hAnsi="Palatino Linotype" w:cs="Times New Roman"/>
                  <w:noProof/>
                  <w:sz w:val="20"/>
                  <w:szCs w:val="24"/>
                </w:rPr>
              </w:pPr>
              <w:r w:rsidRPr="00601DF4">
                <w:rPr>
                  <w:rFonts w:ascii="Palatino Linotype" w:hAnsi="Palatino Linotype" w:cs="Times New Roman"/>
                  <w:noProof/>
                  <w:sz w:val="20"/>
                  <w:szCs w:val="24"/>
                </w:rPr>
                <w:t>[8]</w:t>
              </w:r>
              <w:r w:rsidRPr="00601DF4">
                <w:rPr>
                  <w:rFonts w:ascii="Palatino Linotype" w:hAnsi="Palatino Linotype" w:cs="Times New Roman"/>
                  <w:noProof/>
                  <w:sz w:val="20"/>
                  <w:szCs w:val="24"/>
                </w:rPr>
                <w:tab/>
                <w:t xml:space="preserve">E. Abad-Segura, M. D. González-Zamar, E. López-Meneses, and E. Vázquez-Cano, “Financial Technology: Review of trends, approaches and management,” </w:t>
              </w:r>
              <w:r w:rsidRPr="00601DF4">
                <w:rPr>
                  <w:rFonts w:ascii="Palatino Linotype" w:hAnsi="Palatino Linotype" w:cs="Times New Roman"/>
                  <w:i/>
                  <w:iCs/>
                  <w:noProof/>
                  <w:sz w:val="20"/>
                  <w:szCs w:val="24"/>
                </w:rPr>
                <w:t>Mathematics</w:t>
              </w:r>
              <w:r w:rsidRPr="00601DF4">
                <w:rPr>
                  <w:rFonts w:ascii="Palatino Linotype" w:hAnsi="Palatino Linotype" w:cs="Times New Roman"/>
                  <w:noProof/>
                  <w:sz w:val="20"/>
                  <w:szCs w:val="24"/>
                </w:rPr>
                <w:t>, vol. 8, no. 6, pp. 1–36, 2020.</w:t>
              </w:r>
            </w:p>
            <w:p w14:paraId="28DD90D7" w14:textId="30A3194F" w:rsidR="00601DF4" w:rsidRPr="00601DF4" w:rsidRDefault="00601DF4" w:rsidP="009169DA">
              <w:pPr>
                <w:widowControl w:val="0"/>
                <w:autoSpaceDE w:val="0"/>
                <w:autoSpaceDN w:val="0"/>
                <w:adjustRightInd w:val="0"/>
                <w:spacing w:after="0" w:line="240" w:lineRule="auto"/>
                <w:ind w:left="640" w:hanging="640"/>
                <w:jc w:val="both"/>
                <w:rPr>
                  <w:rFonts w:ascii="Palatino Linotype" w:hAnsi="Palatino Linotype" w:cs="Times New Roman"/>
                  <w:noProof/>
                  <w:sz w:val="20"/>
                  <w:szCs w:val="24"/>
                </w:rPr>
              </w:pPr>
              <w:r w:rsidRPr="00601DF4">
                <w:rPr>
                  <w:rFonts w:ascii="Palatino Linotype" w:hAnsi="Palatino Linotype" w:cs="Times New Roman"/>
                  <w:noProof/>
                  <w:sz w:val="20"/>
                  <w:szCs w:val="24"/>
                </w:rPr>
                <w:t>[9]</w:t>
              </w:r>
              <w:r w:rsidRPr="00601DF4">
                <w:rPr>
                  <w:rFonts w:ascii="Palatino Linotype" w:hAnsi="Palatino Linotype" w:cs="Times New Roman"/>
                  <w:noProof/>
                  <w:sz w:val="20"/>
                  <w:szCs w:val="24"/>
                </w:rPr>
                <w:tab/>
                <w:t xml:space="preserve">A. Teja, “Indonesian Fintech Business: New Innovations or Foster and Collaborate in Business Ecosystems?,” </w:t>
              </w:r>
              <w:r w:rsidR="001B7C16" w:rsidRPr="001B7C16">
                <w:rPr>
                  <w:rFonts w:ascii="Palatino Linotype" w:hAnsi="Palatino Linotype" w:cs="Times New Roman"/>
                  <w:i/>
                  <w:iCs/>
                  <w:noProof/>
                  <w:sz w:val="20"/>
                  <w:szCs w:val="24"/>
                </w:rPr>
                <w:t xml:space="preserve">The </w:t>
              </w:r>
              <w:r w:rsidRPr="00601DF4">
                <w:rPr>
                  <w:rFonts w:ascii="Palatino Linotype" w:hAnsi="Palatino Linotype" w:cs="Times New Roman"/>
                  <w:i/>
                  <w:iCs/>
                  <w:noProof/>
                  <w:sz w:val="20"/>
                  <w:szCs w:val="24"/>
                </w:rPr>
                <w:t>Asian J</w:t>
              </w:r>
              <w:r w:rsidR="001807FD">
                <w:rPr>
                  <w:rFonts w:ascii="Palatino Linotype" w:hAnsi="Palatino Linotype" w:cs="Times New Roman"/>
                  <w:i/>
                  <w:iCs/>
                  <w:noProof/>
                  <w:sz w:val="20"/>
                  <w:szCs w:val="24"/>
                </w:rPr>
                <w:t>ournal</w:t>
              </w:r>
              <w:r w:rsidRPr="00601DF4">
                <w:rPr>
                  <w:rFonts w:ascii="Palatino Linotype" w:hAnsi="Palatino Linotype" w:cs="Times New Roman"/>
                  <w:i/>
                  <w:iCs/>
                  <w:noProof/>
                  <w:sz w:val="20"/>
                  <w:szCs w:val="24"/>
                </w:rPr>
                <w:t xml:space="preserve"> Technol</w:t>
              </w:r>
              <w:r w:rsidR="001B7C16">
                <w:rPr>
                  <w:rFonts w:ascii="Palatino Linotype" w:hAnsi="Palatino Linotype" w:cs="Times New Roman"/>
                  <w:i/>
                  <w:iCs/>
                  <w:noProof/>
                  <w:sz w:val="20"/>
                  <w:szCs w:val="24"/>
                </w:rPr>
                <w:t>ogy</w:t>
              </w:r>
              <w:r w:rsidRPr="00601DF4">
                <w:rPr>
                  <w:rFonts w:ascii="Palatino Linotype" w:hAnsi="Palatino Linotype" w:cs="Times New Roman"/>
                  <w:i/>
                  <w:iCs/>
                  <w:noProof/>
                  <w:sz w:val="20"/>
                  <w:szCs w:val="24"/>
                </w:rPr>
                <w:t xml:space="preserve"> Manag</w:t>
              </w:r>
              <w:r w:rsidR="001B7C16">
                <w:rPr>
                  <w:rFonts w:ascii="Palatino Linotype" w:hAnsi="Palatino Linotype" w:cs="Times New Roman"/>
                  <w:i/>
                  <w:iCs/>
                  <w:noProof/>
                  <w:sz w:val="20"/>
                  <w:szCs w:val="24"/>
                </w:rPr>
                <w:t>agement</w:t>
              </w:r>
              <w:r w:rsidRPr="00601DF4">
                <w:rPr>
                  <w:rFonts w:ascii="Palatino Linotype" w:hAnsi="Palatino Linotype" w:cs="Times New Roman"/>
                  <w:noProof/>
                  <w:sz w:val="20"/>
                  <w:szCs w:val="24"/>
                </w:rPr>
                <w:t>, vol. 10, no. 1, pp. 10–18, 2017.</w:t>
              </w:r>
            </w:p>
            <w:p w14:paraId="570A6278" w14:textId="30741FCD" w:rsidR="00601DF4" w:rsidRPr="00601DF4" w:rsidRDefault="00601DF4" w:rsidP="009169DA">
              <w:pPr>
                <w:widowControl w:val="0"/>
                <w:autoSpaceDE w:val="0"/>
                <w:autoSpaceDN w:val="0"/>
                <w:adjustRightInd w:val="0"/>
                <w:spacing w:after="0" w:line="240" w:lineRule="auto"/>
                <w:ind w:left="640" w:hanging="640"/>
                <w:jc w:val="both"/>
                <w:rPr>
                  <w:rFonts w:ascii="Palatino Linotype" w:hAnsi="Palatino Linotype" w:cs="Times New Roman"/>
                  <w:noProof/>
                  <w:sz w:val="20"/>
                  <w:szCs w:val="24"/>
                </w:rPr>
              </w:pPr>
              <w:r w:rsidRPr="00601DF4">
                <w:rPr>
                  <w:rFonts w:ascii="Palatino Linotype" w:hAnsi="Palatino Linotype" w:cs="Times New Roman"/>
                  <w:noProof/>
                  <w:sz w:val="20"/>
                  <w:szCs w:val="24"/>
                </w:rPr>
                <w:t>[10]</w:t>
              </w:r>
              <w:r w:rsidRPr="00601DF4">
                <w:rPr>
                  <w:rFonts w:ascii="Palatino Linotype" w:hAnsi="Palatino Linotype" w:cs="Times New Roman"/>
                  <w:noProof/>
                  <w:sz w:val="20"/>
                  <w:szCs w:val="24"/>
                </w:rPr>
                <w:tab/>
                <w:t xml:space="preserve">C. Nuryakin, L. Aisha, and N. W. G. Massie, “Financial Technology in Indonesia: A Fragmented Instrument for Financial Inclusion?,” </w:t>
              </w:r>
              <w:r w:rsidRPr="00601DF4">
                <w:rPr>
                  <w:rFonts w:ascii="Palatino Linotype" w:hAnsi="Palatino Linotype" w:cs="Times New Roman"/>
                  <w:i/>
                  <w:iCs/>
                  <w:noProof/>
                  <w:sz w:val="20"/>
                  <w:szCs w:val="24"/>
                </w:rPr>
                <w:t>LPEM-FEB UI Work</w:t>
              </w:r>
              <w:r w:rsidR="001B7C16">
                <w:rPr>
                  <w:rFonts w:ascii="Palatino Linotype" w:hAnsi="Palatino Linotype" w:cs="Times New Roman"/>
                  <w:i/>
                  <w:iCs/>
                  <w:noProof/>
                  <w:sz w:val="20"/>
                  <w:szCs w:val="24"/>
                </w:rPr>
                <w:t>ing</w:t>
              </w:r>
              <w:r w:rsidRPr="00601DF4">
                <w:rPr>
                  <w:rFonts w:ascii="Palatino Linotype" w:hAnsi="Palatino Linotype" w:cs="Times New Roman"/>
                  <w:i/>
                  <w:iCs/>
                  <w:noProof/>
                  <w:sz w:val="20"/>
                  <w:szCs w:val="24"/>
                </w:rPr>
                <w:t xml:space="preserve"> Pap</w:t>
              </w:r>
              <w:r w:rsidR="001B7C16">
                <w:rPr>
                  <w:rFonts w:ascii="Palatino Linotype" w:hAnsi="Palatino Linotype" w:cs="Times New Roman"/>
                  <w:i/>
                  <w:iCs/>
                  <w:noProof/>
                  <w:sz w:val="20"/>
                  <w:szCs w:val="24"/>
                </w:rPr>
                <w:t>per</w:t>
              </w:r>
              <w:r w:rsidRPr="00601DF4">
                <w:rPr>
                  <w:rFonts w:ascii="Palatino Linotype" w:hAnsi="Palatino Linotype" w:cs="Times New Roman"/>
                  <w:i/>
                  <w:iCs/>
                  <w:noProof/>
                  <w:sz w:val="20"/>
                  <w:szCs w:val="24"/>
                </w:rPr>
                <w:t xml:space="preserve"> 036</w:t>
              </w:r>
              <w:r w:rsidRPr="00601DF4">
                <w:rPr>
                  <w:rFonts w:ascii="Palatino Linotype" w:hAnsi="Palatino Linotype" w:cs="Times New Roman"/>
                  <w:noProof/>
                  <w:sz w:val="20"/>
                  <w:szCs w:val="24"/>
                </w:rPr>
                <w:t>, no. May, pp. 1–9, 2019.</w:t>
              </w:r>
            </w:p>
            <w:p w14:paraId="447071AE" w14:textId="77777777" w:rsidR="00601DF4" w:rsidRPr="00601DF4" w:rsidRDefault="00601DF4" w:rsidP="009169DA">
              <w:pPr>
                <w:widowControl w:val="0"/>
                <w:autoSpaceDE w:val="0"/>
                <w:autoSpaceDN w:val="0"/>
                <w:adjustRightInd w:val="0"/>
                <w:spacing w:after="0" w:line="240" w:lineRule="auto"/>
                <w:ind w:left="640" w:hanging="640"/>
                <w:jc w:val="both"/>
                <w:rPr>
                  <w:rFonts w:ascii="Palatino Linotype" w:hAnsi="Palatino Linotype" w:cs="Times New Roman"/>
                  <w:noProof/>
                  <w:sz w:val="20"/>
                  <w:szCs w:val="24"/>
                </w:rPr>
              </w:pPr>
              <w:r w:rsidRPr="00601DF4">
                <w:rPr>
                  <w:rFonts w:ascii="Palatino Linotype" w:hAnsi="Palatino Linotype" w:cs="Times New Roman"/>
                  <w:noProof/>
                  <w:sz w:val="20"/>
                  <w:szCs w:val="24"/>
                </w:rPr>
                <w:t>[11]</w:t>
              </w:r>
              <w:r w:rsidRPr="00601DF4">
                <w:rPr>
                  <w:rFonts w:ascii="Palatino Linotype" w:hAnsi="Palatino Linotype" w:cs="Times New Roman"/>
                  <w:noProof/>
                  <w:sz w:val="20"/>
                  <w:szCs w:val="24"/>
                </w:rPr>
                <w:tab/>
                <w:t>J. Tandiono, B. W. Djojo, S. Candra, and P. Heriyati, “Finding Customer Perception of Peer-to-Peer ( P2P ) Lending Financial Technology in Pohon Dana,” vol. 11, no. March, pp. 51–58, 2020.</w:t>
              </w:r>
            </w:p>
            <w:p w14:paraId="28C6031E" w14:textId="77777777" w:rsidR="00601DF4" w:rsidRPr="00601DF4" w:rsidRDefault="00601DF4" w:rsidP="009169DA">
              <w:pPr>
                <w:widowControl w:val="0"/>
                <w:autoSpaceDE w:val="0"/>
                <w:autoSpaceDN w:val="0"/>
                <w:adjustRightInd w:val="0"/>
                <w:spacing w:after="0" w:line="240" w:lineRule="auto"/>
                <w:ind w:left="640" w:hanging="640"/>
                <w:jc w:val="both"/>
                <w:rPr>
                  <w:rFonts w:ascii="Palatino Linotype" w:hAnsi="Palatino Linotype" w:cs="Times New Roman"/>
                  <w:noProof/>
                  <w:sz w:val="20"/>
                  <w:szCs w:val="24"/>
                </w:rPr>
              </w:pPr>
              <w:r w:rsidRPr="00601DF4">
                <w:rPr>
                  <w:rFonts w:ascii="Palatino Linotype" w:hAnsi="Palatino Linotype" w:cs="Times New Roman"/>
                  <w:noProof/>
                  <w:sz w:val="20"/>
                  <w:szCs w:val="24"/>
                </w:rPr>
                <w:t>[12]</w:t>
              </w:r>
              <w:r w:rsidRPr="00601DF4">
                <w:rPr>
                  <w:rFonts w:ascii="Palatino Linotype" w:hAnsi="Palatino Linotype" w:cs="Times New Roman"/>
                  <w:noProof/>
                  <w:sz w:val="20"/>
                  <w:szCs w:val="24"/>
                </w:rPr>
                <w:tab/>
                <w:t xml:space="preserve">A. Tisnadisastra and A. S. Tadjoedin, “Fintech Indonesia 2020,” </w:t>
              </w:r>
              <w:r w:rsidRPr="00601DF4">
                <w:rPr>
                  <w:rFonts w:ascii="Palatino Linotype" w:hAnsi="Palatino Linotype" w:cs="Times New Roman"/>
                  <w:i/>
                  <w:iCs/>
                  <w:noProof/>
                  <w:sz w:val="20"/>
                  <w:szCs w:val="24"/>
                </w:rPr>
                <w:t>Fintech 2020</w:t>
              </w:r>
              <w:r w:rsidRPr="00601DF4">
                <w:rPr>
                  <w:rFonts w:ascii="Palatino Linotype" w:hAnsi="Palatino Linotype" w:cs="Times New Roman"/>
                  <w:noProof/>
                  <w:sz w:val="20"/>
                  <w:szCs w:val="24"/>
                </w:rPr>
                <w:t>, vol. 1, no. 1, pp. 69–75, 2019.</w:t>
              </w:r>
            </w:p>
            <w:p w14:paraId="4F7266BF" w14:textId="77777777" w:rsidR="00601DF4" w:rsidRPr="00601DF4" w:rsidRDefault="00601DF4" w:rsidP="009169DA">
              <w:pPr>
                <w:widowControl w:val="0"/>
                <w:autoSpaceDE w:val="0"/>
                <w:autoSpaceDN w:val="0"/>
                <w:adjustRightInd w:val="0"/>
                <w:spacing w:after="0" w:line="240" w:lineRule="auto"/>
                <w:ind w:left="640" w:hanging="640"/>
                <w:jc w:val="both"/>
                <w:rPr>
                  <w:rFonts w:ascii="Palatino Linotype" w:hAnsi="Palatino Linotype" w:cs="Times New Roman"/>
                  <w:noProof/>
                  <w:sz w:val="20"/>
                  <w:szCs w:val="24"/>
                </w:rPr>
              </w:pPr>
              <w:r w:rsidRPr="00601DF4">
                <w:rPr>
                  <w:rFonts w:ascii="Palatino Linotype" w:hAnsi="Palatino Linotype" w:cs="Times New Roman"/>
                  <w:noProof/>
                  <w:sz w:val="20"/>
                  <w:szCs w:val="24"/>
                </w:rPr>
                <w:t>[13]</w:t>
              </w:r>
              <w:r w:rsidRPr="00601DF4">
                <w:rPr>
                  <w:rFonts w:ascii="Palatino Linotype" w:hAnsi="Palatino Linotype" w:cs="Times New Roman"/>
                  <w:noProof/>
                  <w:sz w:val="20"/>
                  <w:szCs w:val="24"/>
                </w:rPr>
                <w:tab/>
                <w:t>S. Mittal, D. Joshi, and S. L. Lin, “Digital Banking New Avatar – Banks Watch Out for Banks,” 2016.</w:t>
              </w:r>
            </w:p>
            <w:p w14:paraId="72DC86D9" w14:textId="77777777" w:rsidR="00601DF4" w:rsidRPr="00601DF4" w:rsidRDefault="00601DF4" w:rsidP="009169DA">
              <w:pPr>
                <w:widowControl w:val="0"/>
                <w:autoSpaceDE w:val="0"/>
                <w:autoSpaceDN w:val="0"/>
                <w:adjustRightInd w:val="0"/>
                <w:spacing w:after="0" w:line="240" w:lineRule="auto"/>
                <w:ind w:left="640" w:hanging="640"/>
                <w:jc w:val="both"/>
                <w:rPr>
                  <w:rFonts w:ascii="Palatino Linotype" w:hAnsi="Palatino Linotype" w:cs="Times New Roman"/>
                  <w:noProof/>
                  <w:sz w:val="20"/>
                  <w:szCs w:val="24"/>
                </w:rPr>
              </w:pPr>
              <w:r w:rsidRPr="00601DF4">
                <w:rPr>
                  <w:rFonts w:ascii="Palatino Linotype" w:hAnsi="Palatino Linotype" w:cs="Times New Roman"/>
                  <w:noProof/>
                  <w:sz w:val="20"/>
                  <w:szCs w:val="24"/>
                </w:rPr>
                <w:t>[14]</w:t>
              </w:r>
              <w:r w:rsidRPr="00601DF4">
                <w:rPr>
                  <w:rFonts w:ascii="Palatino Linotype" w:hAnsi="Palatino Linotype" w:cs="Times New Roman"/>
                  <w:noProof/>
                  <w:sz w:val="20"/>
                  <w:szCs w:val="24"/>
                </w:rPr>
                <w:tab/>
                <w:t>Otoritas Jasa Keuangan, “Penyelenggara Fintech Terdaftar dan Berizin di OJK per 11 Juni 2020,” 2020. .</w:t>
              </w:r>
            </w:p>
            <w:p w14:paraId="112E2E64" w14:textId="27F75F7E" w:rsidR="00601DF4" w:rsidRPr="00601DF4" w:rsidRDefault="00601DF4" w:rsidP="009169DA">
              <w:pPr>
                <w:widowControl w:val="0"/>
                <w:autoSpaceDE w:val="0"/>
                <w:autoSpaceDN w:val="0"/>
                <w:adjustRightInd w:val="0"/>
                <w:spacing w:after="0" w:line="240" w:lineRule="auto"/>
                <w:ind w:left="640" w:hanging="640"/>
                <w:jc w:val="both"/>
                <w:rPr>
                  <w:rFonts w:ascii="Palatino Linotype" w:hAnsi="Palatino Linotype" w:cs="Times New Roman"/>
                  <w:noProof/>
                  <w:sz w:val="20"/>
                  <w:szCs w:val="24"/>
                </w:rPr>
              </w:pPr>
              <w:r w:rsidRPr="00601DF4">
                <w:rPr>
                  <w:rFonts w:ascii="Palatino Linotype" w:hAnsi="Palatino Linotype" w:cs="Times New Roman"/>
                  <w:noProof/>
                  <w:sz w:val="20"/>
                  <w:szCs w:val="24"/>
                </w:rPr>
                <w:t>[15]</w:t>
              </w:r>
              <w:r w:rsidRPr="00601DF4">
                <w:rPr>
                  <w:rFonts w:ascii="Palatino Linotype" w:hAnsi="Palatino Linotype" w:cs="Times New Roman"/>
                  <w:noProof/>
                  <w:sz w:val="20"/>
                  <w:szCs w:val="24"/>
                </w:rPr>
                <w:tab/>
                <w:t xml:space="preserve">L. T. Laut, F. Ekonomi, U. Tidar, D. M. Hutajulu, F. Ekonomi, and U. Tidar, “Kontribusi Financial Technology Dalam Meningkatkan,” </w:t>
              </w:r>
              <w:r w:rsidRPr="00601DF4">
                <w:rPr>
                  <w:rFonts w:ascii="Palatino Linotype" w:hAnsi="Palatino Linotype" w:cs="Times New Roman"/>
                  <w:i/>
                  <w:iCs/>
                  <w:noProof/>
                  <w:sz w:val="20"/>
                  <w:szCs w:val="24"/>
                </w:rPr>
                <w:t>Pros</w:t>
              </w:r>
              <w:r w:rsidR="001B7C16">
                <w:rPr>
                  <w:rFonts w:ascii="Palatino Linotype" w:hAnsi="Palatino Linotype" w:cs="Times New Roman"/>
                  <w:i/>
                  <w:iCs/>
                  <w:noProof/>
                  <w:sz w:val="20"/>
                  <w:szCs w:val="24"/>
                </w:rPr>
                <w:t>eding</w:t>
              </w:r>
              <w:r w:rsidRPr="00601DF4">
                <w:rPr>
                  <w:rFonts w:ascii="Palatino Linotype" w:hAnsi="Palatino Linotype" w:cs="Times New Roman"/>
                  <w:i/>
                  <w:iCs/>
                  <w:noProof/>
                  <w:sz w:val="20"/>
                  <w:szCs w:val="24"/>
                </w:rPr>
                <w:t xml:space="preserve"> Semin</w:t>
              </w:r>
              <w:r w:rsidR="001B7C16">
                <w:rPr>
                  <w:rFonts w:ascii="Palatino Linotype" w:hAnsi="Palatino Linotype" w:cs="Times New Roman"/>
                  <w:i/>
                  <w:iCs/>
                  <w:noProof/>
                  <w:sz w:val="20"/>
                  <w:szCs w:val="24"/>
                </w:rPr>
                <w:t>ar</w:t>
              </w:r>
              <w:r w:rsidRPr="00601DF4">
                <w:rPr>
                  <w:rFonts w:ascii="Palatino Linotype" w:hAnsi="Palatino Linotype" w:cs="Times New Roman"/>
                  <w:i/>
                  <w:iCs/>
                  <w:noProof/>
                  <w:sz w:val="20"/>
                  <w:szCs w:val="24"/>
                </w:rPr>
                <w:t xml:space="preserve"> Nas</w:t>
              </w:r>
              <w:r w:rsidR="001B7C16">
                <w:rPr>
                  <w:rFonts w:ascii="Palatino Linotype" w:hAnsi="Palatino Linotype" w:cs="Times New Roman"/>
                  <w:i/>
                  <w:iCs/>
                  <w:noProof/>
                  <w:sz w:val="20"/>
                  <w:szCs w:val="24"/>
                </w:rPr>
                <w:t>ional</w:t>
              </w:r>
              <w:r w:rsidRPr="00601DF4">
                <w:rPr>
                  <w:rFonts w:ascii="Palatino Linotype" w:hAnsi="Palatino Linotype" w:cs="Times New Roman"/>
                  <w:i/>
                  <w:iCs/>
                  <w:noProof/>
                  <w:sz w:val="20"/>
                  <w:szCs w:val="24"/>
                </w:rPr>
                <w:t xml:space="preserve"> </w:t>
              </w:r>
              <w:r w:rsidR="001B7C16">
                <w:rPr>
                  <w:rFonts w:ascii="Palatino Linotype" w:hAnsi="Palatino Linotype" w:cs="Times New Roman"/>
                  <w:i/>
                  <w:iCs/>
                  <w:noProof/>
                  <w:sz w:val="20"/>
                  <w:szCs w:val="24"/>
                </w:rPr>
                <w:t>dan</w:t>
              </w:r>
              <w:r w:rsidRPr="00601DF4">
                <w:rPr>
                  <w:rFonts w:ascii="Palatino Linotype" w:hAnsi="Palatino Linotype" w:cs="Times New Roman"/>
                  <w:i/>
                  <w:iCs/>
                  <w:noProof/>
                  <w:sz w:val="20"/>
                  <w:szCs w:val="24"/>
                </w:rPr>
                <w:t xml:space="preserve"> C</w:t>
              </w:r>
              <w:r w:rsidR="001B7C16">
                <w:rPr>
                  <w:rFonts w:ascii="Palatino Linotype" w:hAnsi="Palatino Linotype" w:cs="Times New Roman"/>
                  <w:i/>
                  <w:iCs/>
                  <w:noProof/>
                  <w:sz w:val="20"/>
                  <w:szCs w:val="24"/>
                </w:rPr>
                <w:t>all for</w:t>
              </w:r>
              <w:r w:rsidRPr="00601DF4">
                <w:rPr>
                  <w:rFonts w:ascii="Palatino Linotype" w:hAnsi="Palatino Linotype" w:cs="Times New Roman"/>
                  <w:i/>
                  <w:iCs/>
                  <w:noProof/>
                  <w:sz w:val="20"/>
                  <w:szCs w:val="24"/>
                </w:rPr>
                <w:t xml:space="preserve"> Pap</w:t>
              </w:r>
              <w:r w:rsidR="001B7C16">
                <w:rPr>
                  <w:rFonts w:ascii="Palatino Linotype" w:hAnsi="Palatino Linotype" w:cs="Times New Roman"/>
                  <w:i/>
                  <w:iCs/>
                  <w:noProof/>
                  <w:sz w:val="20"/>
                  <w:szCs w:val="24"/>
                </w:rPr>
                <w:t>ers</w:t>
              </w:r>
              <w:r w:rsidRPr="00601DF4">
                <w:rPr>
                  <w:rFonts w:ascii="Palatino Linotype" w:hAnsi="Palatino Linotype" w:cs="Times New Roman"/>
                  <w:i/>
                  <w:iCs/>
                  <w:noProof/>
                  <w:sz w:val="20"/>
                  <w:szCs w:val="24"/>
                </w:rPr>
                <w:t xml:space="preserve"> Fak</w:t>
              </w:r>
              <w:r w:rsidR="001B7C16">
                <w:rPr>
                  <w:rFonts w:ascii="Palatino Linotype" w:hAnsi="Palatino Linotype" w:cs="Times New Roman"/>
                  <w:i/>
                  <w:iCs/>
                  <w:noProof/>
                  <w:sz w:val="20"/>
                  <w:szCs w:val="24"/>
                </w:rPr>
                <w:t>ultas</w:t>
              </w:r>
              <w:r w:rsidRPr="00601DF4">
                <w:rPr>
                  <w:rFonts w:ascii="Palatino Linotype" w:hAnsi="Palatino Linotype" w:cs="Times New Roman"/>
                  <w:i/>
                  <w:iCs/>
                  <w:noProof/>
                  <w:sz w:val="20"/>
                  <w:szCs w:val="24"/>
                </w:rPr>
                <w:t xml:space="preserve"> Ekon</w:t>
              </w:r>
              <w:r w:rsidR="001B7C16">
                <w:rPr>
                  <w:rFonts w:ascii="Palatino Linotype" w:hAnsi="Palatino Linotype" w:cs="Times New Roman"/>
                  <w:i/>
                  <w:iCs/>
                  <w:noProof/>
                  <w:sz w:val="20"/>
                  <w:szCs w:val="24"/>
                </w:rPr>
                <w:t>omi</w:t>
              </w:r>
              <w:r w:rsidRPr="00601DF4">
                <w:rPr>
                  <w:rFonts w:ascii="Palatino Linotype" w:hAnsi="Palatino Linotype" w:cs="Times New Roman"/>
                  <w:i/>
                  <w:iCs/>
                  <w:noProof/>
                  <w:sz w:val="20"/>
                  <w:szCs w:val="24"/>
                </w:rPr>
                <w:t xml:space="preserve"> Univ</w:t>
              </w:r>
              <w:r w:rsidR="001B7C16">
                <w:rPr>
                  <w:rFonts w:ascii="Palatino Linotype" w:hAnsi="Palatino Linotype" w:cs="Times New Roman"/>
                  <w:i/>
                  <w:iCs/>
                  <w:noProof/>
                  <w:sz w:val="20"/>
                  <w:szCs w:val="24"/>
                </w:rPr>
                <w:t>ersitas</w:t>
              </w:r>
              <w:r w:rsidRPr="00601DF4">
                <w:rPr>
                  <w:rFonts w:ascii="Palatino Linotype" w:hAnsi="Palatino Linotype" w:cs="Times New Roman"/>
                  <w:i/>
                  <w:iCs/>
                  <w:noProof/>
                  <w:sz w:val="20"/>
                  <w:szCs w:val="24"/>
                </w:rPr>
                <w:t xml:space="preserve"> Tidar</w:t>
              </w:r>
              <w:r w:rsidRPr="00601DF4">
                <w:rPr>
                  <w:rFonts w:ascii="Palatino Linotype" w:hAnsi="Palatino Linotype" w:cs="Times New Roman"/>
                  <w:noProof/>
                  <w:sz w:val="20"/>
                  <w:szCs w:val="24"/>
                </w:rPr>
                <w:t>, pp. 326–336, 2019.</w:t>
              </w:r>
            </w:p>
            <w:p w14:paraId="33B67A09" w14:textId="77777777" w:rsidR="00601DF4" w:rsidRPr="00601DF4" w:rsidRDefault="00601DF4" w:rsidP="009169DA">
              <w:pPr>
                <w:widowControl w:val="0"/>
                <w:autoSpaceDE w:val="0"/>
                <w:autoSpaceDN w:val="0"/>
                <w:adjustRightInd w:val="0"/>
                <w:spacing w:after="0" w:line="240" w:lineRule="auto"/>
                <w:ind w:left="640" w:hanging="640"/>
                <w:jc w:val="both"/>
                <w:rPr>
                  <w:rFonts w:ascii="Palatino Linotype" w:hAnsi="Palatino Linotype" w:cs="Times New Roman"/>
                  <w:noProof/>
                  <w:sz w:val="20"/>
                  <w:szCs w:val="24"/>
                </w:rPr>
              </w:pPr>
              <w:r w:rsidRPr="00601DF4">
                <w:rPr>
                  <w:rFonts w:ascii="Palatino Linotype" w:hAnsi="Palatino Linotype" w:cs="Times New Roman"/>
                  <w:noProof/>
                  <w:sz w:val="20"/>
                  <w:szCs w:val="24"/>
                </w:rPr>
                <w:t>[16]</w:t>
              </w:r>
              <w:r w:rsidRPr="00601DF4">
                <w:rPr>
                  <w:rFonts w:ascii="Palatino Linotype" w:hAnsi="Palatino Linotype" w:cs="Times New Roman"/>
                  <w:noProof/>
                  <w:sz w:val="20"/>
                  <w:szCs w:val="24"/>
                </w:rPr>
                <w:tab/>
                <w:t>Bank Indonesia, “Program Keuangan Inklusif Bank Indonesia,” 2013. [Online]. Available: https://www.bi.go.id/id/ssk/Peran-BI-SSK/keuanganinklusif/program/Contents/default.aspx.</w:t>
              </w:r>
            </w:p>
            <w:p w14:paraId="7A747E96" w14:textId="77777777" w:rsidR="00601DF4" w:rsidRPr="00601DF4" w:rsidRDefault="00601DF4" w:rsidP="009169DA">
              <w:pPr>
                <w:widowControl w:val="0"/>
                <w:autoSpaceDE w:val="0"/>
                <w:autoSpaceDN w:val="0"/>
                <w:adjustRightInd w:val="0"/>
                <w:spacing w:after="0" w:line="240" w:lineRule="auto"/>
                <w:ind w:left="640" w:hanging="640"/>
                <w:jc w:val="both"/>
                <w:rPr>
                  <w:rFonts w:ascii="Palatino Linotype" w:hAnsi="Palatino Linotype" w:cs="Times New Roman"/>
                  <w:noProof/>
                  <w:sz w:val="20"/>
                  <w:szCs w:val="24"/>
                </w:rPr>
              </w:pPr>
              <w:r w:rsidRPr="00601DF4">
                <w:rPr>
                  <w:rFonts w:ascii="Palatino Linotype" w:hAnsi="Palatino Linotype" w:cs="Times New Roman"/>
                  <w:noProof/>
                  <w:sz w:val="20"/>
                  <w:szCs w:val="24"/>
                </w:rPr>
                <w:t>[17]</w:t>
              </w:r>
              <w:r w:rsidRPr="00601DF4">
                <w:rPr>
                  <w:rFonts w:ascii="Palatino Linotype" w:hAnsi="Palatino Linotype" w:cs="Times New Roman"/>
                  <w:noProof/>
                  <w:sz w:val="20"/>
                  <w:szCs w:val="24"/>
                </w:rPr>
                <w:tab/>
                <w:t>Otoritas Jasa Keuangan, “Siaran Pers Satgas Waspada Investasi Tutup 126 Fintech Lending Ilegal Dan 32 Investasi Tanpa Izin,” 2020. [Online]. Available: https://www.ojk.go.id/id/berita-dan-kegiatan/siaran-pers/Pages/Siaran-Pers-Satgas-Waspada-Investasi-Tutup-126-Fintech-Lending-Ilegal-dan-32-Investasi-Tanpa-Izin-.aspx. [Accessed: 29-Sep-2020].</w:t>
              </w:r>
            </w:p>
            <w:p w14:paraId="62294018" w14:textId="77777777" w:rsidR="00601DF4" w:rsidRPr="00601DF4" w:rsidRDefault="00601DF4" w:rsidP="009169DA">
              <w:pPr>
                <w:widowControl w:val="0"/>
                <w:autoSpaceDE w:val="0"/>
                <w:autoSpaceDN w:val="0"/>
                <w:adjustRightInd w:val="0"/>
                <w:spacing w:after="0" w:line="240" w:lineRule="auto"/>
                <w:ind w:left="640" w:hanging="640"/>
                <w:jc w:val="both"/>
                <w:rPr>
                  <w:rFonts w:ascii="Palatino Linotype" w:hAnsi="Palatino Linotype" w:cs="Times New Roman"/>
                  <w:noProof/>
                  <w:sz w:val="20"/>
                  <w:szCs w:val="24"/>
                </w:rPr>
              </w:pPr>
              <w:r w:rsidRPr="00601DF4">
                <w:rPr>
                  <w:rFonts w:ascii="Palatino Linotype" w:hAnsi="Palatino Linotype" w:cs="Times New Roman"/>
                  <w:noProof/>
                  <w:sz w:val="20"/>
                  <w:szCs w:val="24"/>
                </w:rPr>
                <w:t>[18]</w:t>
              </w:r>
              <w:r w:rsidRPr="00601DF4">
                <w:rPr>
                  <w:rFonts w:ascii="Palatino Linotype" w:hAnsi="Palatino Linotype" w:cs="Times New Roman"/>
                  <w:noProof/>
                  <w:sz w:val="20"/>
                  <w:szCs w:val="24"/>
                </w:rPr>
                <w:tab/>
                <w:t>Oxford Business Groups, “How Indonesian fintech companies are boosting financial inclusion,” 2020. [Online]. Available: https://oxfordbusinessgroup.com/overview/greater-access-backed-sensible-regulations-indonesia’s-tech-giants-are-helping-expand-financial. [Accessed: 29-Sep-2020].</w:t>
              </w:r>
            </w:p>
            <w:p w14:paraId="638CBF72" w14:textId="2514FDF0" w:rsidR="00601DF4" w:rsidRPr="00601DF4" w:rsidRDefault="00601DF4" w:rsidP="009169DA">
              <w:pPr>
                <w:widowControl w:val="0"/>
                <w:autoSpaceDE w:val="0"/>
                <w:autoSpaceDN w:val="0"/>
                <w:adjustRightInd w:val="0"/>
                <w:spacing w:after="0" w:line="240" w:lineRule="auto"/>
                <w:ind w:left="640" w:hanging="640"/>
                <w:jc w:val="both"/>
                <w:rPr>
                  <w:rFonts w:ascii="Palatino Linotype" w:hAnsi="Palatino Linotype" w:cs="Times New Roman"/>
                  <w:noProof/>
                  <w:sz w:val="20"/>
                  <w:szCs w:val="24"/>
                </w:rPr>
              </w:pPr>
              <w:r w:rsidRPr="00601DF4">
                <w:rPr>
                  <w:rFonts w:ascii="Palatino Linotype" w:hAnsi="Palatino Linotype" w:cs="Times New Roman"/>
                  <w:noProof/>
                  <w:sz w:val="20"/>
                  <w:szCs w:val="24"/>
                </w:rPr>
                <w:t>[19]</w:t>
              </w:r>
              <w:r w:rsidRPr="00601DF4">
                <w:rPr>
                  <w:rFonts w:ascii="Palatino Linotype" w:hAnsi="Palatino Linotype" w:cs="Times New Roman"/>
                  <w:noProof/>
                  <w:sz w:val="20"/>
                  <w:szCs w:val="24"/>
                </w:rPr>
                <w:tab/>
                <w:t xml:space="preserve">M. Coeckelbergh, Q. DuPont, and W. Reijers, “Towards a Philosophy of Financial Technologies,” </w:t>
              </w:r>
              <w:r w:rsidRPr="00601DF4">
                <w:rPr>
                  <w:rFonts w:ascii="Palatino Linotype" w:hAnsi="Palatino Linotype" w:cs="Times New Roman"/>
                  <w:i/>
                  <w:iCs/>
                  <w:noProof/>
                  <w:sz w:val="20"/>
                  <w:szCs w:val="24"/>
                </w:rPr>
                <w:t>Philo</w:t>
              </w:r>
              <w:r w:rsidR="001B7C16">
                <w:rPr>
                  <w:rFonts w:ascii="Palatino Linotype" w:hAnsi="Palatino Linotype" w:cs="Times New Roman"/>
                  <w:i/>
                  <w:iCs/>
                  <w:noProof/>
                  <w:sz w:val="20"/>
                  <w:szCs w:val="24"/>
                </w:rPr>
                <w:t xml:space="preserve">ophy and </w:t>
              </w:r>
              <w:r w:rsidRPr="00601DF4">
                <w:rPr>
                  <w:rFonts w:ascii="Palatino Linotype" w:hAnsi="Palatino Linotype" w:cs="Times New Roman"/>
                  <w:i/>
                  <w:iCs/>
                  <w:noProof/>
                  <w:sz w:val="20"/>
                  <w:szCs w:val="24"/>
                </w:rPr>
                <w:t>Technol</w:t>
              </w:r>
              <w:r w:rsidR="001B7C16">
                <w:rPr>
                  <w:rFonts w:ascii="Palatino Linotype" w:hAnsi="Palatino Linotype" w:cs="Times New Roman"/>
                  <w:i/>
                  <w:iCs/>
                  <w:noProof/>
                  <w:sz w:val="20"/>
                  <w:szCs w:val="24"/>
                </w:rPr>
                <w:t>ogy</w:t>
              </w:r>
              <w:r w:rsidRPr="00601DF4">
                <w:rPr>
                  <w:rFonts w:ascii="Palatino Linotype" w:hAnsi="Palatino Linotype" w:cs="Times New Roman"/>
                  <w:noProof/>
                  <w:sz w:val="20"/>
                  <w:szCs w:val="24"/>
                </w:rPr>
                <w:t>, vol. 31, no. 1, pp. 9–14, 2018.</w:t>
              </w:r>
            </w:p>
            <w:p w14:paraId="29995361" w14:textId="784925C2" w:rsidR="00601DF4" w:rsidRPr="00601DF4" w:rsidRDefault="00601DF4" w:rsidP="009169DA">
              <w:pPr>
                <w:widowControl w:val="0"/>
                <w:autoSpaceDE w:val="0"/>
                <w:autoSpaceDN w:val="0"/>
                <w:adjustRightInd w:val="0"/>
                <w:spacing w:after="0" w:line="240" w:lineRule="auto"/>
                <w:ind w:left="640" w:hanging="640"/>
                <w:jc w:val="both"/>
                <w:rPr>
                  <w:rFonts w:ascii="Palatino Linotype" w:hAnsi="Palatino Linotype" w:cs="Times New Roman"/>
                  <w:noProof/>
                  <w:sz w:val="20"/>
                  <w:szCs w:val="24"/>
                </w:rPr>
              </w:pPr>
              <w:r w:rsidRPr="00601DF4">
                <w:rPr>
                  <w:rFonts w:ascii="Palatino Linotype" w:hAnsi="Palatino Linotype" w:cs="Times New Roman"/>
                  <w:noProof/>
                  <w:sz w:val="20"/>
                  <w:szCs w:val="24"/>
                </w:rPr>
                <w:t>[20]</w:t>
              </w:r>
              <w:r w:rsidRPr="00601DF4">
                <w:rPr>
                  <w:rFonts w:ascii="Palatino Linotype" w:hAnsi="Palatino Linotype" w:cs="Times New Roman"/>
                  <w:noProof/>
                  <w:sz w:val="20"/>
                  <w:szCs w:val="24"/>
                </w:rPr>
                <w:tab/>
                <w:t xml:space="preserve">L. Abubakar and T. Handayani, “Financial Technology: Legal Challenges for Indonesia Financial Sector,” </w:t>
              </w:r>
              <w:r w:rsidRPr="00601DF4">
                <w:rPr>
                  <w:rFonts w:ascii="Palatino Linotype" w:hAnsi="Palatino Linotype" w:cs="Times New Roman"/>
                  <w:i/>
                  <w:iCs/>
                  <w:noProof/>
                  <w:sz w:val="20"/>
                  <w:szCs w:val="24"/>
                </w:rPr>
                <w:t>IOP Conf</w:t>
              </w:r>
              <w:r w:rsidR="001B7C16">
                <w:rPr>
                  <w:rFonts w:ascii="Palatino Linotype" w:hAnsi="Palatino Linotype" w:cs="Times New Roman"/>
                  <w:i/>
                  <w:iCs/>
                  <w:noProof/>
                  <w:sz w:val="20"/>
                  <w:szCs w:val="24"/>
                </w:rPr>
                <w:t>erence</w:t>
              </w:r>
              <w:r w:rsidRPr="00601DF4">
                <w:rPr>
                  <w:rFonts w:ascii="Palatino Linotype" w:hAnsi="Palatino Linotype" w:cs="Times New Roman"/>
                  <w:i/>
                  <w:iCs/>
                  <w:noProof/>
                  <w:sz w:val="20"/>
                  <w:szCs w:val="24"/>
                </w:rPr>
                <w:t xml:space="preserve"> Ser</w:t>
              </w:r>
              <w:r w:rsidR="001B7C16">
                <w:rPr>
                  <w:rFonts w:ascii="Palatino Linotype" w:hAnsi="Palatino Linotype" w:cs="Times New Roman"/>
                  <w:i/>
                  <w:iCs/>
                  <w:noProof/>
                  <w:sz w:val="20"/>
                  <w:szCs w:val="24"/>
                </w:rPr>
                <w:t>ies</w:t>
              </w:r>
              <w:r w:rsidRPr="00601DF4">
                <w:rPr>
                  <w:rFonts w:ascii="Palatino Linotype" w:hAnsi="Palatino Linotype" w:cs="Times New Roman"/>
                  <w:i/>
                  <w:iCs/>
                  <w:noProof/>
                  <w:sz w:val="20"/>
                  <w:szCs w:val="24"/>
                </w:rPr>
                <w:t xml:space="preserve"> Earth</w:t>
              </w:r>
              <w:r w:rsidR="001B7C16">
                <w:rPr>
                  <w:rFonts w:ascii="Palatino Linotype" w:hAnsi="Palatino Linotype" w:cs="Times New Roman"/>
                  <w:i/>
                  <w:iCs/>
                  <w:noProof/>
                  <w:sz w:val="20"/>
                  <w:szCs w:val="24"/>
                </w:rPr>
                <w:t xml:space="preserve"> and</w:t>
              </w:r>
              <w:r w:rsidRPr="00601DF4">
                <w:rPr>
                  <w:rFonts w:ascii="Palatino Linotype" w:hAnsi="Palatino Linotype" w:cs="Times New Roman"/>
                  <w:i/>
                  <w:iCs/>
                  <w:noProof/>
                  <w:sz w:val="20"/>
                  <w:szCs w:val="24"/>
                </w:rPr>
                <w:t xml:space="preserve"> Environ</w:t>
              </w:r>
              <w:r w:rsidR="001B7C16">
                <w:rPr>
                  <w:rFonts w:ascii="Palatino Linotype" w:hAnsi="Palatino Linotype" w:cs="Times New Roman"/>
                  <w:i/>
                  <w:iCs/>
                  <w:noProof/>
                  <w:sz w:val="20"/>
                  <w:szCs w:val="24"/>
                </w:rPr>
                <w:t>mental</w:t>
              </w:r>
              <w:r w:rsidRPr="00601DF4">
                <w:rPr>
                  <w:rFonts w:ascii="Palatino Linotype" w:hAnsi="Palatino Linotype" w:cs="Times New Roman"/>
                  <w:i/>
                  <w:iCs/>
                  <w:noProof/>
                  <w:sz w:val="20"/>
                  <w:szCs w:val="24"/>
                </w:rPr>
                <w:t xml:space="preserve"> Sc</w:t>
              </w:r>
              <w:r w:rsidR="001B7C16">
                <w:rPr>
                  <w:rFonts w:ascii="Palatino Linotype" w:hAnsi="Palatino Linotype" w:cs="Times New Roman"/>
                  <w:i/>
                  <w:iCs/>
                  <w:noProof/>
                  <w:sz w:val="20"/>
                  <w:szCs w:val="24"/>
                </w:rPr>
                <w:t>ience</w:t>
              </w:r>
              <w:r w:rsidRPr="00601DF4">
                <w:rPr>
                  <w:rFonts w:ascii="Palatino Linotype" w:hAnsi="Palatino Linotype" w:cs="Times New Roman"/>
                  <w:noProof/>
                  <w:sz w:val="20"/>
                  <w:szCs w:val="24"/>
                </w:rPr>
                <w:t>, vol. 175, no. 1, 2018.</w:t>
              </w:r>
            </w:p>
            <w:p w14:paraId="7A207758" w14:textId="77777777" w:rsidR="00601DF4" w:rsidRPr="00601DF4" w:rsidRDefault="00601DF4" w:rsidP="009169DA">
              <w:pPr>
                <w:widowControl w:val="0"/>
                <w:autoSpaceDE w:val="0"/>
                <w:autoSpaceDN w:val="0"/>
                <w:adjustRightInd w:val="0"/>
                <w:spacing w:after="0" w:line="240" w:lineRule="auto"/>
                <w:ind w:left="640" w:hanging="640"/>
                <w:jc w:val="both"/>
                <w:rPr>
                  <w:rFonts w:ascii="Palatino Linotype" w:hAnsi="Palatino Linotype" w:cs="Times New Roman"/>
                  <w:noProof/>
                  <w:sz w:val="20"/>
                  <w:szCs w:val="24"/>
                </w:rPr>
              </w:pPr>
              <w:r w:rsidRPr="00601DF4">
                <w:rPr>
                  <w:rFonts w:ascii="Palatino Linotype" w:hAnsi="Palatino Linotype" w:cs="Times New Roman"/>
                  <w:noProof/>
                  <w:sz w:val="20"/>
                  <w:szCs w:val="24"/>
                </w:rPr>
                <w:t>[21]</w:t>
              </w:r>
              <w:r w:rsidRPr="00601DF4">
                <w:rPr>
                  <w:rFonts w:ascii="Palatino Linotype" w:hAnsi="Palatino Linotype" w:cs="Times New Roman"/>
                  <w:noProof/>
                  <w:sz w:val="20"/>
                  <w:szCs w:val="24"/>
                </w:rPr>
                <w:tab/>
                <w:t xml:space="preserve">C. F. Lee, </w:t>
              </w:r>
              <w:r w:rsidRPr="00601DF4">
                <w:rPr>
                  <w:rFonts w:ascii="Palatino Linotype" w:hAnsi="Palatino Linotype" w:cs="Times New Roman"/>
                  <w:i/>
                  <w:iCs/>
                  <w:noProof/>
                  <w:sz w:val="20"/>
                  <w:szCs w:val="24"/>
                </w:rPr>
                <w:t>Financial econometrics, mathematics, statistics, and financial technology: an overall view</w:t>
              </w:r>
              <w:r w:rsidRPr="00601DF4">
                <w:rPr>
                  <w:rFonts w:ascii="Palatino Linotype" w:hAnsi="Palatino Linotype" w:cs="Times New Roman"/>
                  <w:noProof/>
                  <w:sz w:val="20"/>
                  <w:szCs w:val="24"/>
                </w:rPr>
                <w:t>, vol. 54, no. 4. Springer US, 2020.</w:t>
              </w:r>
            </w:p>
            <w:p w14:paraId="4A8F5345" w14:textId="77777777" w:rsidR="00601DF4" w:rsidRPr="00601DF4" w:rsidRDefault="00601DF4" w:rsidP="009169DA">
              <w:pPr>
                <w:widowControl w:val="0"/>
                <w:autoSpaceDE w:val="0"/>
                <w:autoSpaceDN w:val="0"/>
                <w:adjustRightInd w:val="0"/>
                <w:spacing w:after="0" w:line="240" w:lineRule="auto"/>
                <w:ind w:left="640" w:hanging="640"/>
                <w:jc w:val="both"/>
                <w:rPr>
                  <w:rFonts w:ascii="Palatino Linotype" w:hAnsi="Palatino Linotype" w:cs="Times New Roman"/>
                  <w:noProof/>
                  <w:sz w:val="20"/>
                  <w:szCs w:val="24"/>
                </w:rPr>
              </w:pPr>
              <w:r w:rsidRPr="00601DF4">
                <w:rPr>
                  <w:rFonts w:ascii="Palatino Linotype" w:hAnsi="Palatino Linotype" w:cs="Times New Roman"/>
                  <w:noProof/>
                  <w:sz w:val="20"/>
                  <w:szCs w:val="24"/>
                </w:rPr>
                <w:t>[22]</w:t>
              </w:r>
              <w:r w:rsidRPr="00601DF4">
                <w:rPr>
                  <w:rFonts w:ascii="Palatino Linotype" w:hAnsi="Palatino Linotype" w:cs="Times New Roman"/>
                  <w:noProof/>
                  <w:sz w:val="20"/>
                  <w:szCs w:val="24"/>
                </w:rPr>
                <w:tab/>
                <w:t>Bank Indonesia, “Teknologi Finansial,” 2017. [Online]. Available: https://www.bi.go.id/id/sistem-pembayaran/fintech/Contents/default.aspx. [Accessed: 19-Aug-2020].</w:t>
              </w:r>
            </w:p>
            <w:p w14:paraId="777A51E8" w14:textId="77777777" w:rsidR="00601DF4" w:rsidRPr="00601DF4" w:rsidRDefault="00601DF4" w:rsidP="009169DA">
              <w:pPr>
                <w:widowControl w:val="0"/>
                <w:autoSpaceDE w:val="0"/>
                <w:autoSpaceDN w:val="0"/>
                <w:adjustRightInd w:val="0"/>
                <w:spacing w:after="0" w:line="240" w:lineRule="auto"/>
                <w:ind w:left="640" w:hanging="640"/>
                <w:jc w:val="both"/>
                <w:rPr>
                  <w:rFonts w:ascii="Palatino Linotype" w:hAnsi="Palatino Linotype" w:cs="Times New Roman"/>
                  <w:noProof/>
                  <w:sz w:val="20"/>
                  <w:szCs w:val="24"/>
                </w:rPr>
              </w:pPr>
              <w:r w:rsidRPr="00601DF4">
                <w:rPr>
                  <w:rFonts w:ascii="Palatino Linotype" w:hAnsi="Palatino Linotype" w:cs="Times New Roman"/>
                  <w:noProof/>
                  <w:sz w:val="20"/>
                  <w:szCs w:val="24"/>
                </w:rPr>
                <w:t>[23]</w:t>
              </w:r>
              <w:r w:rsidRPr="00601DF4">
                <w:rPr>
                  <w:rFonts w:ascii="Palatino Linotype" w:hAnsi="Palatino Linotype" w:cs="Times New Roman"/>
                  <w:noProof/>
                  <w:sz w:val="20"/>
                  <w:szCs w:val="24"/>
                </w:rPr>
                <w:tab/>
                <w:t>Otoritas Jasa Keuangan, “Regulasi Lembaga Pembiayaan,” 2017. [Online]. Available: https://www.ojk.go.id/id/kanal/iknb/regulasi/lembaga-pembiayaan/regulasi-lembaga-pembiayaan/Default.aspx. [Accessed: 19-Aug-2020].</w:t>
              </w:r>
            </w:p>
            <w:p w14:paraId="2AA53B4D" w14:textId="77777777" w:rsidR="00601DF4" w:rsidRPr="00601DF4" w:rsidRDefault="00601DF4" w:rsidP="009169DA">
              <w:pPr>
                <w:widowControl w:val="0"/>
                <w:autoSpaceDE w:val="0"/>
                <w:autoSpaceDN w:val="0"/>
                <w:adjustRightInd w:val="0"/>
                <w:spacing w:after="0" w:line="240" w:lineRule="auto"/>
                <w:ind w:left="640" w:hanging="640"/>
                <w:jc w:val="both"/>
                <w:rPr>
                  <w:rFonts w:ascii="Palatino Linotype" w:hAnsi="Palatino Linotype" w:cs="Times New Roman"/>
                  <w:noProof/>
                  <w:sz w:val="20"/>
                  <w:szCs w:val="24"/>
                </w:rPr>
              </w:pPr>
              <w:r w:rsidRPr="00601DF4">
                <w:rPr>
                  <w:rFonts w:ascii="Palatino Linotype" w:hAnsi="Palatino Linotype" w:cs="Times New Roman"/>
                  <w:noProof/>
                  <w:sz w:val="20"/>
                  <w:szCs w:val="24"/>
                </w:rPr>
                <w:t>[24]</w:t>
              </w:r>
              <w:r w:rsidRPr="00601DF4">
                <w:rPr>
                  <w:rFonts w:ascii="Palatino Linotype" w:hAnsi="Palatino Linotype" w:cs="Times New Roman"/>
                  <w:noProof/>
                  <w:sz w:val="20"/>
                  <w:szCs w:val="24"/>
                </w:rPr>
                <w:tab/>
                <w:t>Otoritas Jasa Keuangan, “Penyelenggara Fintech Terdaftar dan Berizin di OJK per 5 Agustus 2020,” 2020. [Online]. Available: https://www.ojk.go.id/id/kanal/iknb/financial-technology/Documents/FINTECH TERDAFTAR DAN BERIZIN PER 5 AGUSTUS 2020.pdf. [Accessed: 19-Aug-2020].</w:t>
              </w:r>
            </w:p>
            <w:p w14:paraId="1FE0C2EE" w14:textId="71E22AD1" w:rsidR="00601DF4" w:rsidRPr="00601DF4" w:rsidRDefault="00601DF4" w:rsidP="009169DA">
              <w:pPr>
                <w:widowControl w:val="0"/>
                <w:autoSpaceDE w:val="0"/>
                <w:autoSpaceDN w:val="0"/>
                <w:adjustRightInd w:val="0"/>
                <w:spacing w:after="0" w:line="240" w:lineRule="auto"/>
                <w:ind w:left="640" w:hanging="640"/>
                <w:jc w:val="both"/>
                <w:rPr>
                  <w:rFonts w:ascii="Palatino Linotype" w:hAnsi="Palatino Linotype" w:cs="Times New Roman"/>
                  <w:noProof/>
                  <w:sz w:val="20"/>
                  <w:szCs w:val="24"/>
                </w:rPr>
              </w:pPr>
              <w:r w:rsidRPr="00601DF4">
                <w:rPr>
                  <w:rFonts w:ascii="Palatino Linotype" w:hAnsi="Palatino Linotype" w:cs="Times New Roman"/>
                  <w:noProof/>
                  <w:sz w:val="20"/>
                  <w:szCs w:val="24"/>
                </w:rPr>
                <w:t>[25]</w:t>
              </w:r>
              <w:r w:rsidRPr="00601DF4">
                <w:rPr>
                  <w:rFonts w:ascii="Palatino Linotype" w:hAnsi="Palatino Linotype" w:cs="Times New Roman"/>
                  <w:noProof/>
                  <w:sz w:val="20"/>
                  <w:szCs w:val="24"/>
                </w:rPr>
                <w:tab/>
                <w:t xml:space="preserve">Indrawati; Dianty Anggraini Putri, “Analyzing Factors Influencing Continuance Intention of E-Payment Adoption Using Modified UTAUT 2 Model,” </w:t>
              </w:r>
              <w:r w:rsidRPr="00601DF4">
                <w:rPr>
                  <w:rFonts w:ascii="Palatino Linotype" w:hAnsi="Palatino Linotype" w:cs="Times New Roman"/>
                  <w:i/>
                  <w:iCs/>
                  <w:noProof/>
                  <w:sz w:val="20"/>
                  <w:szCs w:val="24"/>
                </w:rPr>
                <w:t>2018 6th Int</w:t>
              </w:r>
              <w:r w:rsidR="001B7C16">
                <w:rPr>
                  <w:rFonts w:ascii="Palatino Linotype" w:hAnsi="Palatino Linotype" w:cs="Times New Roman"/>
                  <w:i/>
                  <w:iCs/>
                  <w:noProof/>
                  <w:sz w:val="20"/>
                  <w:szCs w:val="24"/>
                </w:rPr>
                <w:t>ernational</w:t>
              </w:r>
              <w:r w:rsidRPr="00601DF4">
                <w:rPr>
                  <w:rFonts w:ascii="Palatino Linotype" w:hAnsi="Palatino Linotype" w:cs="Times New Roman"/>
                  <w:i/>
                  <w:iCs/>
                  <w:noProof/>
                  <w:sz w:val="20"/>
                  <w:szCs w:val="24"/>
                </w:rPr>
                <w:t xml:space="preserve"> Conf</w:t>
              </w:r>
              <w:r w:rsidR="001B7C16">
                <w:rPr>
                  <w:rFonts w:ascii="Palatino Linotype" w:hAnsi="Palatino Linotype" w:cs="Times New Roman"/>
                  <w:i/>
                  <w:iCs/>
                  <w:noProof/>
                  <w:sz w:val="20"/>
                  <w:szCs w:val="24"/>
                </w:rPr>
                <w:t>erence</w:t>
              </w:r>
              <w:r w:rsidRPr="00601DF4">
                <w:rPr>
                  <w:rFonts w:ascii="Palatino Linotype" w:hAnsi="Palatino Linotype" w:cs="Times New Roman"/>
                  <w:i/>
                  <w:iCs/>
                  <w:noProof/>
                  <w:sz w:val="20"/>
                  <w:szCs w:val="24"/>
                </w:rPr>
                <w:t xml:space="preserve"> </w:t>
              </w:r>
              <w:r w:rsidR="001B7C16">
                <w:rPr>
                  <w:rFonts w:ascii="Palatino Linotype" w:hAnsi="Palatino Linotype" w:cs="Times New Roman"/>
                  <w:i/>
                  <w:iCs/>
                  <w:noProof/>
                  <w:sz w:val="20"/>
                  <w:szCs w:val="24"/>
                </w:rPr>
                <w:t xml:space="preserve">on </w:t>
              </w:r>
              <w:r w:rsidRPr="00601DF4">
                <w:rPr>
                  <w:rFonts w:ascii="Palatino Linotype" w:hAnsi="Palatino Linotype" w:cs="Times New Roman"/>
                  <w:i/>
                  <w:iCs/>
                  <w:noProof/>
                  <w:sz w:val="20"/>
                  <w:szCs w:val="24"/>
                </w:rPr>
                <w:t>Inf</w:t>
              </w:r>
              <w:r w:rsidR="001B7C16">
                <w:rPr>
                  <w:rFonts w:ascii="Palatino Linotype" w:hAnsi="Palatino Linotype" w:cs="Times New Roman"/>
                  <w:i/>
                  <w:iCs/>
                  <w:noProof/>
                  <w:sz w:val="20"/>
                  <w:szCs w:val="24"/>
                </w:rPr>
                <w:t>ormation</w:t>
              </w:r>
              <w:r w:rsidRPr="00601DF4">
                <w:rPr>
                  <w:rFonts w:ascii="Palatino Linotype" w:hAnsi="Palatino Linotype" w:cs="Times New Roman"/>
                  <w:i/>
                  <w:iCs/>
                  <w:noProof/>
                  <w:sz w:val="20"/>
                  <w:szCs w:val="24"/>
                </w:rPr>
                <w:t xml:space="preserve"> </w:t>
              </w:r>
              <w:r w:rsidR="001B7C16">
                <w:rPr>
                  <w:rFonts w:ascii="Palatino Linotype" w:hAnsi="Palatino Linotype" w:cs="Times New Roman"/>
                  <w:i/>
                  <w:iCs/>
                  <w:noProof/>
                  <w:sz w:val="20"/>
                  <w:szCs w:val="24"/>
                </w:rPr>
                <w:t xml:space="preserve">and </w:t>
              </w:r>
              <w:r w:rsidRPr="00601DF4">
                <w:rPr>
                  <w:rFonts w:ascii="Palatino Linotype" w:hAnsi="Palatino Linotype" w:cs="Times New Roman"/>
                  <w:i/>
                  <w:iCs/>
                  <w:noProof/>
                  <w:sz w:val="20"/>
                  <w:szCs w:val="24"/>
                </w:rPr>
                <w:t>Commun</w:t>
              </w:r>
              <w:r w:rsidR="001B7C16">
                <w:rPr>
                  <w:rFonts w:ascii="Palatino Linotype" w:hAnsi="Palatino Linotype" w:cs="Times New Roman"/>
                  <w:i/>
                  <w:iCs/>
                  <w:noProof/>
                  <w:sz w:val="20"/>
                  <w:szCs w:val="24"/>
                </w:rPr>
                <w:t>ication</w:t>
              </w:r>
              <w:r w:rsidRPr="00601DF4">
                <w:rPr>
                  <w:rFonts w:ascii="Palatino Linotype" w:hAnsi="Palatino Linotype" w:cs="Times New Roman"/>
                  <w:i/>
                  <w:iCs/>
                  <w:noProof/>
                  <w:sz w:val="20"/>
                  <w:szCs w:val="24"/>
                </w:rPr>
                <w:t xml:space="preserve"> Techno</w:t>
              </w:r>
              <w:r w:rsidR="001B7C16">
                <w:rPr>
                  <w:rFonts w:ascii="Palatino Linotype" w:hAnsi="Palatino Linotype" w:cs="Times New Roman"/>
                  <w:i/>
                  <w:iCs/>
                  <w:noProof/>
                  <w:sz w:val="20"/>
                  <w:szCs w:val="24"/>
                </w:rPr>
                <w:t>logy</w:t>
              </w:r>
              <w:r w:rsidRPr="00601DF4">
                <w:rPr>
                  <w:rFonts w:ascii="Palatino Linotype" w:hAnsi="Palatino Linotype" w:cs="Times New Roman"/>
                  <w:noProof/>
                  <w:sz w:val="20"/>
                  <w:szCs w:val="24"/>
                </w:rPr>
                <w:t>, pp. 167–173, 2018.</w:t>
              </w:r>
            </w:p>
            <w:p w14:paraId="0CA2E2A8" w14:textId="310E3859" w:rsidR="00601DF4" w:rsidRPr="00601DF4" w:rsidRDefault="00601DF4" w:rsidP="009169DA">
              <w:pPr>
                <w:widowControl w:val="0"/>
                <w:autoSpaceDE w:val="0"/>
                <w:autoSpaceDN w:val="0"/>
                <w:adjustRightInd w:val="0"/>
                <w:spacing w:after="0" w:line="240" w:lineRule="auto"/>
                <w:ind w:left="640" w:hanging="640"/>
                <w:jc w:val="both"/>
                <w:rPr>
                  <w:rFonts w:ascii="Palatino Linotype" w:hAnsi="Palatino Linotype" w:cs="Times New Roman"/>
                  <w:noProof/>
                  <w:sz w:val="20"/>
                  <w:szCs w:val="24"/>
                </w:rPr>
              </w:pPr>
              <w:r w:rsidRPr="00601DF4">
                <w:rPr>
                  <w:rFonts w:ascii="Palatino Linotype" w:hAnsi="Palatino Linotype" w:cs="Times New Roman"/>
                  <w:noProof/>
                  <w:sz w:val="20"/>
                  <w:szCs w:val="24"/>
                </w:rPr>
                <w:t>[26]</w:t>
              </w:r>
              <w:r w:rsidRPr="00601DF4">
                <w:rPr>
                  <w:rFonts w:ascii="Palatino Linotype" w:hAnsi="Palatino Linotype" w:cs="Times New Roman"/>
                  <w:noProof/>
                  <w:sz w:val="20"/>
                  <w:szCs w:val="24"/>
                </w:rPr>
                <w:tab/>
                <w:t xml:space="preserve">K. Rouibah, P. B. Lowry, and Y. Hwang, “The effects of perceived enjoyment and perceived risks on trust formation and intentions to use online payment systems: New perspectives from an Arab country,” </w:t>
              </w:r>
              <w:r w:rsidRPr="00601DF4">
                <w:rPr>
                  <w:rFonts w:ascii="Palatino Linotype" w:hAnsi="Palatino Linotype" w:cs="Times New Roman"/>
                  <w:i/>
                  <w:iCs/>
                  <w:noProof/>
                  <w:sz w:val="20"/>
                  <w:szCs w:val="24"/>
                </w:rPr>
                <w:t>Electron</w:t>
              </w:r>
              <w:r w:rsidR="001B7C16">
                <w:rPr>
                  <w:rFonts w:ascii="Palatino Linotype" w:hAnsi="Palatino Linotype" w:cs="Times New Roman"/>
                  <w:i/>
                  <w:iCs/>
                  <w:noProof/>
                  <w:sz w:val="20"/>
                  <w:szCs w:val="24"/>
                </w:rPr>
                <w:t xml:space="preserve">ic </w:t>
              </w:r>
              <w:r w:rsidRPr="00601DF4">
                <w:rPr>
                  <w:rFonts w:ascii="Palatino Linotype" w:hAnsi="Palatino Linotype" w:cs="Times New Roman"/>
                  <w:i/>
                  <w:iCs/>
                  <w:noProof/>
                  <w:sz w:val="20"/>
                  <w:szCs w:val="24"/>
                </w:rPr>
                <w:t xml:space="preserve"> Commer</w:t>
              </w:r>
              <w:r w:rsidR="001B7C16">
                <w:rPr>
                  <w:rFonts w:ascii="Palatino Linotype" w:hAnsi="Palatino Linotype" w:cs="Times New Roman"/>
                  <w:i/>
                  <w:iCs/>
                  <w:noProof/>
                  <w:sz w:val="20"/>
                  <w:szCs w:val="24"/>
                </w:rPr>
                <w:t>ce</w:t>
              </w:r>
              <w:r w:rsidRPr="00601DF4">
                <w:rPr>
                  <w:rFonts w:ascii="Palatino Linotype" w:hAnsi="Palatino Linotype" w:cs="Times New Roman"/>
                  <w:i/>
                  <w:iCs/>
                  <w:noProof/>
                  <w:sz w:val="20"/>
                  <w:szCs w:val="24"/>
                </w:rPr>
                <w:t xml:space="preserve"> Res</w:t>
              </w:r>
              <w:r w:rsidR="001B7C16">
                <w:rPr>
                  <w:rFonts w:ascii="Palatino Linotype" w:hAnsi="Palatino Linotype" w:cs="Times New Roman"/>
                  <w:i/>
                  <w:iCs/>
                  <w:noProof/>
                  <w:sz w:val="20"/>
                  <w:szCs w:val="24"/>
                </w:rPr>
                <w:t>earch</w:t>
              </w:r>
              <w:r w:rsidRPr="00601DF4">
                <w:rPr>
                  <w:rFonts w:ascii="Palatino Linotype" w:hAnsi="Palatino Linotype" w:cs="Times New Roman"/>
                  <w:i/>
                  <w:iCs/>
                  <w:noProof/>
                  <w:sz w:val="20"/>
                  <w:szCs w:val="24"/>
                </w:rPr>
                <w:t xml:space="preserve"> </w:t>
              </w:r>
              <w:r w:rsidR="001B7C16">
                <w:rPr>
                  <w:rFonts w:ascii="Palatino Linotype" w:hAnsi="Palatino Linotype" w:cs="Times New Roman"/>
                  <w:i/>
                  <w:iCs/>
                  <w:noProof/>
                  <w:sz w:val="20"/>
                  <w:szCs w:val="24"/>
                </w:rPr>
                <w:t xml:space="preserve">and </w:t>
              </w:r>
              <w:r w:rsidRPr="00601DF4">
                <w:rPr>
                  <w:rFonts w:ascii="Palatino Linotype" w:hAnsi="Palatino Linotype" w:cs="Times New Roman"/>
                  <w:i/>
                  <w:iCs/>
                  <w:noProof/>
                  <w:sz w:val="20"/>
                  <w:szCs w:val="24"/>
                </w:rPr>
                <w:t>Appl</w:t>
              </w:r>
              <w:r w:rsidR="001B7C16">
                <w:rPr>
                  <w:rFonts w:ascii="Palatino Linotype" w:hAnsi="Palatino Linotype" w:cs="Times New Roman"/>
                  <w:i/>
                  <w:iCs/>
                  <w:noProof/>
                  <w:sz w:val="20"/>
                  <w:szCs w:val="24"/>
                </w:rPr>
                <w:t>ications</w:t>
              </w:r>
              <w:r w:rsidRPr="00601DF4">
                <w:rPr>
                  <w:rFonts w:ascii="Palatino Linotype" w:hAnsi="Palatino Linotype" w:cs="Times New Roman"/>
                  <w:noProof/>
                  <w:sz w:val="20"/>
                  <w:szCs w:val="24"/>
                </w:rPr>
                <w:t>, vol. 19, pp. 33–43, 2016.</w:t>
              </w:r>
            </w:p>
            <w:p w14:paraId="5FDDF15D" w14:textId="4E57ADA6" w:rsidR="00601DF4" w:rsidRPr="00601DF4" w:rsidRDefault="00601DF4" w:rsidP="009169DA">
              <w:pPr>
                <w:widowControl w:val="0"/>
                <w:autoSpaceDE w:val="0"/>
                <w:autoSpaceDN w:val="0"/>
                <w:adjustRightInd w:val="0"/>
                <w:spacing w:after="0" w:line="240" w:lineRule="auto"/>
                <w:ind w:left="640" w:hanging="640"/>
                <w:jc w:val="both"/>
                <w:rPr>
                  <w:rFonts w:ascii="Palatino Linotype" w:hAnsi="Palatino Linotype" w:cs="Times New Roman"/>
                  <w:noProof/>
                  <w:sz w:val="20"/>
                  <w:szCs w:val="24"/>
                </w:rPr>
              </w:pPr>
              <w:r w:rsidRPr="00601DF4">
                <w:rPr>
                  <w:rFonts w:ascii="Palatino Linotype" w:hAnsi="Palatino Linotype" w:cs="Times New Roman"/>
                  <w:noProof/>
                  <w:sz w:val="20"/>
                  <w:szCs w:val="24"/>
                </w:rPr>
                <w:t>[27]</w:t>
              </w:r>
              <w:r w:rsidRPr="00601DF4">
                <w:rPr>
                  <w:rFonts w:ascii="Palatino Linotype" w:hAnsi="Palatino Linotype" w:cs="Times New Roman"/>
                  <w:noProof/>
                  <w:sz w:val="20"/>
                  <w:szCs w:val="24"/>
                </w:rPr>
                <w:tab/>
                <w:t xml:space="preserve">M. Rosavina, R. A. Rahadi, M. L. Kitri, S. Nuraeni, and L. Mayangsari, “P2P lending adoption by SMEs in Indonesia,” </w:t>
              </w:r>
              <w:r w:rsidR="001B7C16" w:rsidRPr="001B7C16">
                <w:rPr>
                  <w:rFonts w:ascii="Palatino Linotype" w:hAnsi="Palatino Linotype" w:cs="Times New Roman"/>
                  <w:i/>
                  <w:iCs/>
                  <w:noProof/>
                  <w:sz w:val="20"/>
                  <w:szCs w:val="24"/>
                </w:rPr>
                <w:t>Qualitative Research in Financial Markets</w:t>
              </w:r>
              <w:r w:rsidRPr="00601DF4">
                <w:rPr>
                  <w:rFonts w:ascii="Palatino Linotype" w:hAnsi="Palatino Linotype" w:cs="Times New Roman"/>
                  <w:noProof/>
                  <w:sz w:val="20"/>
                  <w:szCs w:val="24"/>
                </w:rPr>
                <w:t>, vol. 11, no. 2, pp. 260–279, 2019.</w:t>
              </w:r>
            </w:p>
            <w:p w14:paraId="60816EAD" w14:textId="30BE6CCA" w:rsidR="00601DF4" w:rsidRPr="00601DF4" w:rsidRDefault="00601DF4" w:rsidP="009169DA">
              <w:pPr>
                <w:widowControl w:val="0"/>
                <w:autoSpaceDE w:val="0"/>
                <w:autoSpaceDN w:val="0"/>
                <w:adjustRightInd w:val="0"/>
                <w:spacing w:after="0" w:line="240" w:lineRule="auto"/>
                <w:ind w:left="640" w:hanging="640"/>
                <w:jc w:val="both"/>
                <w:rPr>
                  <w:rFonts w:ascii="Palatino Linotype" w:hAnsi="Palatino Linotype" w:cs="Times New Roman"/>
                  <w:noProof/>
                  <w:sz w:val="20"/>
                  <w:szCs w:val="24"/>
                </w:rPr>
              </w:pPr>
              <w:r w:rsidRPr="00601DF4">
                <w:rPr>
                  <w:rFonts w:ascii="Palatino Linotype" w:hAnsi="Palatino Linotype" w:cs="Times New Roman"/>
                  <w:noProof/>
                  <w:sz w:val="20"/>
                  <w:szCs w:val="24"/>
                </w:rPr>
                <w:t>[28]</w:t>
              </w:r>
              <w:r w:rsidRPr="00601DF4">
                <w:rPr>
                  <w:rFonts w:ascii="Palatino Linotype" w:hAnsi="Palatino Linotype" w:cs="Times New Roman"/>
                  <w:noProof/>
                  <w:sz w:val="20"/>
                  <w:szCs w:val="24"/>
                </w:rPr>
                <w:tab/>
                <w:t xml:space="preserve">F. S. Puteri, P. W. Handayani, F. Azzahro, and A. A. Pinem, “Analysis of investor intention to invest capital in small and medium enterprises through peer-to-peer lending in Indonesia,” </w:t>
              </w:r>
              <w:r w:rsidRPr="00601DF4">
                <w:rPr>
                  <w:rFonts w:ascii="Palatino Linotype" w:hAnsi="Palatino Linotype" w:cs="Times New Roman"/>
                  <w:i/>
                  <w:iCs/>
                  <w:noProof/>
                  <w:sz w:val="20"/>
                  <w:szCs w:val="24"/>
                </w:rPr>
                <w:t>Proc</w:t>
              </w:r>
              <w:r w:rsidR="00BA2DD4">
                <w:rPr>
                  <w:rFonts w:ascii="Palatino Linotype" w:hAnsi="Palatino Linotype" w:cs="Times New Roman"/>
                  <w:i/>
                  <w:iCs/>
                  <w:noProof/>
                  <w:sz w:val="20"/>
                  <w:szCs w:val="24"/>
                </w:rPr>
                <w:t>eedings</w:t>
              </w:r>
              <w:r w:rsidRPr="00601DF4">
                <w:rPr>
                  <w:rFonts w:ascii="Palatino Linotype" w:hAnsi="Palatino Linotype" w:cs="Times New Roman"/>
                  <w:i/>
                  <w:iCs/>
                  <w:noProof/>
                  <w:sz w:val="20"/>
                  <w:szCs w:val="24"/>
                </w:rPr>
                <w:t xml:space="preserve">. - 2018 4th </w:t>
              </w:r>
              <w:r w:rsidR="00BA2DD4" w:rsidRPr="00BA2DD4">
                <w:rPr>
                  <w:rFonts w:ascii="Palatino Linotype" w:hAnsi="Palatino Linotype" w:cs="Times New Roman"/>
                  <w:i/>
                  <w:iCs/>
                  <w:noProof/>
                  <w:sz w:val="20"/>
                  <w:szCs w:val="24"/>
                </w:rPr>
                <w:t>International Conference on Computing, Engineering, and Design</w:t>
              </w:r>
              <w:r w:rsidRPr="00601DF4">
                <w:rPr>
                  <w:rFonts w:ascii="Palatino Linotype" w:hAnsi="Palatino Linotype" w:cs="Times New Roman"/>
                  <w:i/>
                  <w:iCs/>
                  <w:noProof/>
                  <w:sz w:val="20"/>
                  <w:szCs w:val="24"/>
                </w:rPr>
                <w:t>. ICCED 2018</w:t>
              </w:r>
              <w:r w:rsidRPr="00601DF4">
                <w:rPr>
                  <w:rFonts w:ascii="Palatino Linotype" w:hAnsi="Palatino Linotype" w:cs="Times New Roman"/>
                  <w:noProof/>
                  <w:sz w:val="20"/>
                  <w:szCs w:val="24"/>
                </w:rPr>
                <w:t>, pp. 87–92, 2019.</w:t>
              </w:r>
            </w:p>
            <w:p w14:paraId="607FC048" w14:textId="2238BABB" w:rsidR="00601DF4" w:rsidRPr="00601DF4" w:rsidRDefault="00601DF4" w:rsidP="009169DA">
              <w:pPr>
                <w:widowControl w:val="0"/>
                <w:autoSpaceDE w:val="0"/>
                <w:autoSpaceDN w:val="0"/>
                <w:adjustRightInd w:val="0"/>
                <w:spacing w:after="0" w:line="240" w:lineRule="auto"/>
                <w:ind w:left="640" w:hanging="640"/>
                <w:jc w:val="both"/>
                <w:rPr>
                  <w:rFonts w:ascii="Palatino Linotype" w:hAnsi="Palatino Linotype" w:cs="Times New Roman"/>
                  <w:noProof/>
                  <w:sz w:val="20"/>
                  <w:szCs w:val="24"/>
                </w:rPr>
              </w:pPr>
              <w:r w:rsidRPr="00601DF4">
                <w:rPr>
                  <w:rFonts w:ascii="Palatino Linotype" w:hAnsi="Palatino Linotype" w:cs="Times New Roman"/>
                  <w:noProof/>
                  <w:sz w:val="20"/>
                  <w:szCs w:val="24"/>
                </w:rPr>
                <w:t>[29]</w:t>
              </w:r>
              <w:r w:rsidRPr="00601DF4">
                <w:rPr>
                  <w:rFonts w:ascii="Palatino Linotype" w:hAnsi="Palatino Linotype" w:cs="Times New Roman"/>
                  <w:noProof/>
                  <w:sz w:val="20"/>
                  <w:szCs w:val="24"/>
                </w:rPr>
                <w:tab/>
                <w:t xml:space="preserve">X. Cao, L. Yu, Z. Liu, M. Gong, and L. Adeel, “Understanding mobile payment users’ continuance intention: a trust transfer perspective,” </w:t>
              </w:r>
              <w:r w:rsidRPr="00601DF4">
                <w:rPr>
                  <w:rFonts w:ascii="Palatino Linotype" w:hAnsi="Palatino Linotype" w:cs="Times New Roman"/>
                  <w:i/>
                  <w:iCs/>
                  <w:noProof/>
                  <w:sz w:val="20"/>
                  <w:szCs w:val="24"/>
                </w:rPr>
                <w:t>Internet Res</w:t>
              </w:r>
              <w:r w:rsidR="00BA2DD4">
                <w:rPr>
                  <w:rFonts w:ascii="Palatino Linotype" w:hAnsi="Palatino Linotype" w:cs="Times New Roman"/>
                  <w:i/>
                  <w:iCs/>
                  <w:noProof/>
                  <w:sz w:val="20"/>
                  <w:szCs w:val="24"/>
                </w:rPr>
                <w:t>each</w:t>
              </w:r>
              <w:r w:rsidRPr="00601DF4">
                <w:rPr>
                  <w:rFonts w:ascii="Palatino Linotype" w:hAnsi="Palatino Linotype" w:cs="Times New Roman"/>
                  <w:noProof/>
                  <w:sz w:val="20"/>
                  <w:szCs w:val="24"/>
                </w:rPr>
                <w:t>, vol. 28, no. 2, pp. 456–476, 2018.</w:t>
              </w:r>
            </w:p>
            <w:p w14:paraId="20007767" w14:textId="7A061CD7" w:rsidR="00601DF4" w:rsidRPr="00601DF4" w:rsidRDefault="00601DF4" w:rsidP="009169DA">
              <w:pPr>
                <w:widowControl w:val="0"/>
                <w:autoSpaceDE w:val="0"/>
                <w:autoSpaceDN w:val="0"/>
                <w:adjustRightInd w:val="0"/>
                <w:spacing w:after="0" w:line="240" w:lineRule="auto"/>
                <w:ind w:left="640" w:hanging="640"/>
                <w:jc w:val="both"/>
                <w:rPr>
                  <w:rFonts w:ascii="Palatino Linotype" w:hAnsi="Palatino Linotype" w:cs="Times New Roman"/>
                  <w:noProof/>
                  <w:sz w:val="20"/>
                  <w:szCs w:val="24"/>
                </w:rPr>
              </w:pPr>
              <w:r w:rsidRPr="00601DF4">
                <w:rPr>
                  <w:rFonts w:ascii="Palatino Linotype" w:hAnsi="Palatino Linotype" w:cs="Times New Roman"/>
                  <w:noProof/>
                  <w:sz w:val="20"/>
                  <w:szCs w:val="24"/>
                </w:rPr>
                <w:t>[30]</w:t>
              </w:r>
              <w:r w:rsidRPr="00601DF4">
                <w:rPr>
                  <w:rFonts w:ascii="Palatino Linotype" w:hAnsi="Palatino Linotype" w:cs="Times New Roman"/>
                  <w:noProof/>
                  <w:sz w:val="20"/>
                  <w:szCs w:val="24"/>
                </w:rPr>
                <w:tab/>
                <w:t xml:space="preserve">R. Kurniawan, “Examination of the Factors Contributing to Financial Technology Adoption in Indonesia using Technology Acceptance Model: Case Study of Peer to Peer Lending Service Platform,” </w:t>
              </w:r>
              <w:r w:rsidRPr="00601DF4">
                <w:rPr>
                  <w:rFonts w:ascii="Palatino Linotype" w:hAnsi="Palatino Linotype" w:cs="Times New Roman"/>
                  <w:i/>
                  <w:iCs/>
                  <w:noProof/>
                  <w:sz w:val="20"/>
                  <w:szCs w:val="24"/>
                </w:rPr>
                <w:t>Proc</w:t>
              </w:r>
              <w:r w:rsidR="00BA2DD4">
                <w:rPr>
                  <w:rFonts w:ascii="Palatino Linotype" w:hAnsi="Palatino Linotype" w:cs="Times New Roman"/>
                  <w:i/>
                  <w:iCs/>
                  <w:noProof/>
                  <w:sz w:val="20"/>
                  <w:szCs w:val="24"/>
                </w:rPr>
                <w:t>eding</w:t>
              </w:r>
              <w:r w:rsidRPr="00601DF4">
                <w:rPr>
                  <w:rFonts w:ascii="Palatino Linotype" w:hAnsi="Palatino Linotype" w:cs="Times New Roman"/>
                  <w:i/>
                  <w:iCs/>
                  <w:noProof/>
                  <w:sz w:val="20"/>
                  <w:szCs w:val="24"/>
                </w:rPr>
                <w:t xml:space="preserve"> 2019 </w:t>
              </w:r>
              <w:r w:rsidR="00BA2DD4" w:rsidRPr="00BA2DD4">
                <w:rPr>
                  <w:rFonts w:ascii="Palatino Linotype" w:hAnsi="Palatino Linotype" w:cs="Times New Roman"/>
                  <w:i/>
                  <w:iCs/>
                  <w:noProof/>
                  <w:sz w:val="20"/>
                  <w:szCs w:val="24"/>
                </w:rPr>
                <w:t>International Conference on Information Management and Technology</w:t>
              </w:r>
              <w:r w:rsidRPr="00601DF4">
                <w:rPr>
                  <w:rFonts w:ascii="Palatino Linotype" w:hAnsi="Palatino Linotype" w:cs="Times New Roman"/>
                  <w:i/>
                  <w:iCs/>
                  <w:noProof/>
                  <w:sz w:val="20"/>
                  <w:szCs w:val="24"/>
                </w:rPr>
                <w:t>. ICIMTech 2019</w:t>
              </w:r>
              <w:r w:rsidRPr="00601DF4">
                <w:rPr>
                  <w:rFonts w:ascii="Palatino Linotype" w:hAnsi="Palatino Linotype" w:cs="Times New Roman"/>
                  <w:noProof/>
                  <w:sz w:val="20"/>
                  <w:szCs w:val="24"/>
                </w:rPr>
                <w:t>, vol. 1, pp. 432–437, 2019.</w:t>
              </w:r>
            </w:p>
            <w:p w14:paraId="4CF17DD0" w14:textId="77777777" w:rsidR="00601DF4" w:rsidRPr="00601DF4" w:rsidRDefault="00601DF4" w:rsidP="009169DA">
              <w:pPr>
                <w:widowControl w:val="0"/>
                <w:autoSpaceDE w:val="0"/>
                <w:autoSpaceDN w:val="0"/>
                <w:adjustRightInd w:val="0"/>
                <w:spacing w:after="0" w:line="240" w:lineRule="auto"/>
                <w:ind w:left="640" w:hanging="640"/>
                <w:jc w:val="both"/>
                <w:rPr>
                  <w:rFonts w:ascii="Palatino Linotype" w:hAnsi="Palatino Linotype" w:cs="Times New Roman"/>
                  <w:noProof/>
                  <w:sz w:val="20"/>
                  <w:szCs w:val="24"/>
                </w:rPr>
              </w:pPr>
              <w:r w:rsidRPr="00601DF4">
                <w:rPr>
                  <w:rFonts w:ascii="Palatino Linotype" w:hAnsi="Palatino Linotype" w:cs="Times New Roman"/>
                  <w:noProof/>
                  <w:sz w:val="20"/>
                  <w:szCs w:val="24"/>
                </w:rPr>
                <w:t>[31]</w:t>
              </w:r>
              <w:r w:rsidRPr="00601DF4">
                <w:rPr>
                  <w:rFonts w:ascii="Palatino Linotype" w:hAnsi="Palatino Linotype" w:cs="Times New Roman"/>
                  <w:noProof/>
                  <w:sz w:val="20"/>
                  <w:szCs w:val="24"/>
                </w:rPr>
                <w:tab/>
                <w:t>Investree, “Interest rates and fees.” [Online]. Available: https://investree.id/en/how-it-works/interest-rate-fee. [Accessed: 19-Aug-2020].</w:t>
              </w:r>
            </w:p>
            <w:p w14:paraId="677474C5" w14:textId="685EE954" w:rsidR="00601DF4" w:rsidRPr="00601DF4" w:rsidRDefault="00601DF4" w:rsidP="009169DA">
              <w:pPr>
                <w:widowControl w:val="0"/>
                <w:autoSpaceDE w:val="0"/>
                <w:autoSpaceDN w:val="0"/>
                <w:adjustRightInd w:val="0"/>
                <w:spacing w:after="0" w:line="240" w:lineRule="auto"/>
                <w:ind w:left="640" w:hanging="640"/>
                <w:jc w:val="both"/>
                <w:rPr>
                  <w:rFonts w:ascii="Palatino Linotype" w:hAnsi="Palatino Linotype" w:cs="Times New Roman"/>
                  <w:noProof/>
                  <w:sz w:val="20"/>
                  <w:szCs w:val="24"/>
                </w:rPr>
              </w:pPr>
              <w:r w:rsidRPr="00601DF4">
                <w:rPr>
                  <w:rFonts w:ascii="Palatino Linotype" w:hAnsi="Palatino Linotype" w:cs="Times New Roman"/>
                  <w:noProof/>
                  <w:sz w:val="20"/>
                  <w:szCs w:val="24"/>
                </w:rPr>
                <w:t>[32]</w:t>
              </w:r>
              <w:r w:rsidRPr="00601DF4">
                <w:rPr>
                  <w:rFonts w:ascii="Palatino Linotype" w:hAnsi="Palatino Linotype" w:cs="Times New Roman"/>
                  <w:noProof/>
                  <w:sz w:val="20"/>
                  <w:szCs w:val="24"/>
                </w:rPr>
                <w:tab/>
                <w:t>Y. Wirani, L. Diniputri, and M. S. Romadhon, “Investigating the Influence of Information Quality , Information Seeking , and Familiarity with Purchase Intentions</w:t>
              </w:r>
              <w:r w:rsidRPr="00601DF4">
                <w:rPr>
                  <w:rFonts w:ascii="Times New Roman" w:hAnsi="Times New Roman" w:cs="Times New Roman"/>
                  <w:noProof/>
                  <w:sz w:val="20"/>
                  <w:szCs w:val="24"/>
                </w:rPr>
                <w:t> </w:t>
              </w:r>
              <w:r w:rsidRPr="00601DF4">
                <w:rPr>
                  <w:rFonts w:ascii="Palatino Linotype" w:hAnsi="Palatino Linotype" w:cs="Times New Roman"/>
                  <w:noProof/>
                  <w:sz w:val="20"/>
                  <w:szCs w:val="24"/>
                </w:rPr>
                <w:t xml:space="preserve">: A Perspective of Instagram Users in Indonesia,” </w:t>
              </w:r>
              <w:r w:rsidRPr="00601DF4">
                <w:rPr>
                  <w:rFonts w:ascii="Palatino Linotype" w:hAnsi="Palatino Linotype" w:cs="Times New Roman"/>
                  <w:i/>
                  <w:iCs/>
                  <w:noProof/>
                  <w:sz w:val="20"/>
                  <w:szCs w:val="24"/>
                </w:rPr>
                <w:t xml:space="preserve">8th </w:t>
              </w:r>
              <w:r w:rsidR="00BA2DD4" w:rsidRPr="00BA2DD4">
                <w:rPr>
                  <w:rFonts w:ascii="Palatino Linotype" w:hAnsi="Palatino Linotype" w:cs="Times New Roman"/>
                  <w:i/>
                  <w:iCs/>
                  <w:noProof/>
                  <w:sz w:val="20"/>
                  <w:szCs w:val="24"/>
                </w:rPr>
                <w:t>International Conference on Information and Communication Technology</w:t>
              </w:r>
              <w:r w:rsidRPr="00601DF4">
                <w:rPr>
                  <w:rFonts w:ascii="Palatino Linotype" w:hAnsi="Palatino Linotype" w:cs="Times New Roman"/>
                  <w:noProof/>
                  <w:sz w:val="20"/>
                  <w:szCs w:val="24"/>
                </w:rPr>
                <w:t>, 2020.</w:t>
              </w:r>
            </w:p>
            <w:p w14:paraId="79B08C18" w14:textId="225A0FC5" w:rsidR="00601DF4" w:rsidRPr="00601DF4" w:rsidRDefault="00601DF4" w:rsidP="009169DA">
              <w:pPr>
                <w:widowControl w:val="0"/>
                <w:autoSpaceDE w:val="0"/>
                <w:autoSpaceDN w:val="0"/>
                <w:adjustRightInd w:val="0"/>
                <w:spacing w:after="0" w:line="240" w:lineRule="auto"/>
                <w:ind w:left="640" w:hanging="640"/>
                <w:jc w:val="both"/>
                <w:rPr>
                  <w:rFonts w:ascii="Palatino Linotype" w:hAnsi="Palatino Linotype" w:cs="Times New Roman"/>
                  <w:noProof/>
                  <w:sz w:val="20"/>
                  <w:szCs w:val="24"/>
                </w:rPr>
              </w:pPr>
              <w:r w:rsidRPr="00601DF4">
                <w:rPr>
                  <w:rFonts w:ascii="Palatino Linotype" w:hAnsi="Palatino Linotype" w:cs="Times New Roman"/>
                  <w:noProof/>
                  <w:sz w:val="20"/>
                  <w:szCs w:val="24"/>
                </w:rPr>
                <w:t>[33]</w:t>
              </w:r>
              <w:r w:rsidRPr="00601DF4">
                <w:rPr>
                  <w:rFonts w:ascii="Palatino Linotype" w:hAnsi="Palatino Linotype" w:cs="Times New Roman"/>
                  <w:noProof/>
                  <w:sz w:val="20"/>
                  <w:szCs w:val="24"/>
                </w:rPr>
                <w:tab/>
                <w:t xml:space="preserve">J. F. Hair, M. C. Howard, and C. Nitzl, “Assessing measurement model quality in PLS-SEM using confirmatory composite analysis,” </w:t>
              </w:r>
              <w:r w:rsidRPr="00601DF4">
                <w:rPr>
                  <w:rFonts w:ascii="Palatino Linotype" w:hAnsi="Palatino Linotype" w:cs="Times New Roman"/>
                  <w:i/>
                  <w:iCs/>
                  <w:noProof/>
                  <w:sz w:val="20"/>
                  <w:szCs w:val="24"/>
                </w:rPr>
                <w:t>J</w:t>
              </w:r>
              <w:r w:rsidR="00BA2DD4">
                <w:rPr>
                  <w:rFonts w:ascii="Palatino Linotype" w:hAnsi="Palatino Linotype" w:cs="Times New Roman"/>
                  <w:i/>
                  <w:iCs/>
                  <w:noProof/>
                  <w:sz w:val="20"/>
                  <w:szCs w:val="24"/>
                </w:rPr>
                <w:t xml:space="preserve">ournal of </w:t>
              </w:r>
              <w:r w:rsidRPr="00601DF4">
                <w:rPr>
                  <w:rFonts w:ascii="Palatino Linotype" w:hAnsi="Palatino Linotype" w:cs="Times New Roman"/>
                  <w:i/>
                  <w:iCs/>
                  <w:noProof/>
                  <w:sz w:val="20"/>
                  <w:szCs w:val="24"/>
                </w:rPr>
                <w:t>Bus</w:t>
              </w:r>
              <w:r w:rsidR="00BA2DD4">
                <w:rPr>
                  <w:rFonts w:ascii="Palatino Linotype" w:hAnsi="Palatino Linotype" w:cs="Times New Roman"/>
                  <w:i/>
                  <w:iCs/>
                  <w:noProof/>
                  <w:sz w:val="20"/>
                  <w:szCs w:val="24"/>
                </w:rPr>
                <w:t>iness</w:t>
              </w:r>
              <w:r w:rsidRPr="00601DF4">
                <w:rPr>
                  <w:rFonts w:ascii="Palatino Linotype" w:hAnsi="Palatino Linotype" w:cs="Times New Roman"/>
                  <w:i/>
                  <w:iCs/>
                  <w:noProof/>
                  <w:sz w:val="20"/>
                  <w:szCs w:val="24"/>
                </w:rPr>
                <w:t xml:space="preserve"> Res</w:t>
              </w:r>
              <w:r w:rsidR="00BA2DD4">
                <w:rPr>
                  <w:rFonts w:ascii="Palatino Linotype" w:hAnsi="Palatino Linotype" w:cs="Times New Roman"/>
                  <w:i/>
                  <w:iCs/>
                  <w:noProof/>
                  <w:sz w:val="20"/>
                  <w:szCs w:val="24"/>
                </w:rPr>
                <w:t>earch</w:t>
              </w:r>
              <w:r w:rsidRPr="00601DF4">
                <w:rPr>
                  <w:rFonts w:ascii="Palatino Linotype" w:hAnsi="Palatino Linotype" w:cs="Times New Roman"/>
                  <w:noProof/>
                  <w:sz w:val="20"/>
                  <w:szCs w:val="24"/>
                </w:rPr>
                <w:t>, vol. 109, no. November 2019, pp. 101–110, 2020.</w:t>
              </w:r>
            </w:p>
            <w:p w14:paraId="04FB6F75" w14:textId="226EF76E" w:rsidR="00601DF4" w:rsidRPr="00601DF4" w:rsidRDefault="00601DF4" w:rsidP="009169DA">
              <w:pPr>
                <w:widowControl w:val="0"/>
                <w:autoSpaceDE w:val="0"/>
                <w:autoSpaceDN w:val="0"/>
                <w:adjustRightInd w:val="0"/>
                <w:spacing w:after="0" w:line="240" w:lineRule="auto"/>
                <w:ind w:left="640" w:hanging="640"/>
                <w:jc w:val="both"/>
                <w:rPr>
                  <w:rFonts w:ascii="Palatino Linotype" w:hAnsi="Palatino Linotype" w:cs="Times New Roman"/>
                  <w:noProof/>
                  <w:sz w:val="20"/>
                  <w:szCs w:val="24"/>
                </w:rPr>
              </w:pPr>
              <w:r w:rsidRPr="00601DF4">
                <w:rPr>
                  <w:rFonts w:ascii="Palatino Linotype" w:hAnsi="Palatino Linotype" w:cs="Times New Roman"/>
                  <w:noProof/>
                  <w:sz w:val="20"/>
                  <w:szCs w:val="24"/>
                </w:rPr>
                <w:t>[34]</w:t>
              </w:r>
              <w:r w:rsidRPr="00601DF4">
                <w:rPr>
                  <w:rFonts w:ascii="Palatino Linotype" w:hAnsi="Palatino Linotype" w:cs="Times New Roman"/>
                  <w:noProof/>
                  <w:sz w:val="20"/>
                  <w:szCs w:val="24"/>
                </w:rPr>
                <w:tab/>
                <w:t xml:space="preserve">Y. Wirani, A. N. Hidayanto, and M. R. Shihab, “Factors Affecting Acceptance of Internet Banking With Technology-Organization-Environment Framework: A Perspective of Corporate Customers in Indonesia,” </w:t>
              </w:r>
              <w:r w:rsidRPr="00601DF4">
                <w:rPr>
                  <w:rFonts w:ascii="Palatino Linotype" w:hAnsi="Palatino Linotype" w:cs="Times New Roman"/>
                  <w:i/>
                  <w:iCs/>
                  <w:noProof/>
                  <w:sz w:val="20"/>
                  <w:szCs w:val="24"/>
                </w:rPr>
                <w:t>Int</w:t>
              </w:r>
              <w:r w:rsidR="00BA2DD4">
                <w:rPr>
                  <w:rFonts w:ascii="Palatino Linotype" w:hAnsi="Palatino Linotype" w:cs="Times New Roman"/>
                  <w:i/>
                  <w:iCs/>
                  <w:noProof/>
                  <w:sz w:val="20"/>
                  <w:szCs w:val="24"/>
                </w:rPr>
                <w:t>ernational</w:t>
              </w:r>
              <w:r w:rsidRPr="00601DF4">
                <w:rPr>
                  <w:rFonts w:ascii="Palatino Linotype" w:hAnsi="Palatino Linotype" w:cs="Times New Roman"/>
                  <w:i/>
                  <w:iCs/>
                  <w:noProof/>
                  <w:sz w:val="20"/>
                  <w:szCs w:val="24"/>
                </w:rPr>
                <w:t xml:space="preserve"> J</w:t>
              </w:r>
              <w:r w:rsidR="00BA2DD4">
                <w:rPr>
                  <w:rFonts w:ascii="Palatino Linotype" w:hAnsi="Palatino Linotype" w:cs="Times New Roman"/>
                  <w:i/>
                  <w:iCs/>
                  <w:noProof/>
                  <w:sz w:val="20"/>
                  <w:szCs w:val="24"/>
                </w:rPr>
                <w:t>ournal of</w:t>
              </w:r>
              <w:r w:rsidRPr="00601DF4">
                <w:rPr>
                  <w:rFonts w:ascii="Palatino Linotype" w:hAnsi="Palatino Linotype" w:cs="Times New Roman"/>
                  <w:i/>
                  <w:iCs/>
                  <w:noProof/>
                  <w:sz w:val="20"/>
                  <w:szCs w:val="24"/>
                </w:rPr>
                <w:t xml:space="preserve"> Bus</w:t>
              </w:r>
              <w:r w:rsidR="00BA2DD4">
                <w:rPr>
                  <w:rFonts w:ascii="Palatino Linotype" w:hAnsi="Palatino Linotype" w:cs="Times New Roman"/>
                  <w:i/>
                  <w:iCs/>
                  <w:noProof/>
                  <w:sz w:val="20"/>
                  <w:szCs w:val="24"/>
                </w:rPr>
                <w:t>iness</w:t>
              </w:r>
              <w:r w:rsidRPr="00601DF4">
                <w:rPr>
                  <w:rFonts w:ascii="Palatino Linotype" w:hAnsi="Palatino Linotype" w:cs="Times New Roman"/>
                  <w:i/>
                  <w:iCs/>
                  <w:noProof/>
                  <w:sz w:val="20"/>
                  <w:szCs w:val="24"/>
                </w:rPr>
                <w:t xml:space="preserve"> Inf</w:t>
              </w:r>
              <w:r w:rsidR="00BA2DD4">
                <w:rPr>
                  <w:rFonts w:ascii="Palatino Linotype" w:hAnsi="Palatino Linotype" w:cs="Times New Roman"/>
                  <w:i/>
                  <w:iCs/>
                  <w:noProof/>
                  <w:sz w:val="20"/>
                  <w:szCs w:val="24"/>
                </w:rPr>
                <w:t>ormation</w:t>
              </w:r>
              <w:r w:rsidRPr="00601DF4">
                <w:rPr>
                  <w:rFonts w:ascii="Palatino Linotype" w:hAnsi="Palatino Linotype" w:cs="Times New Roman"/>
                  <w:i/>
                  <w:iCs/>
                  <w:noProof/>
                  <w:sz w:val="20"/>
                  <w:szCs w:val="24"/>
                </w:rPr>
                <w:t xml:space="preserve"> Syst</w:t>
              </w:r>
              <w:r w:rsidR="00BA2DD4">
                <w:rPr>
                  <w:rFonts w:ascii="Palatino Linotype" w:hAnsi="Palatino Linotype" w:cs="Times New Roman"/>
                  <w:i/>
                  <w:iCs/>
                  <w:noProof/>
                  <w:sz w:val="20"/>
                  <w:szCs w:val="24"/>
                </w:rPr>
                <w:t>ems</w:t>
              </w:r>
              <w:r w:rsidRPr="00601DF4">
                <w:rPr>
                  <w:rFonts w:ascii="Palatino Linotype" w:hAnsi="Palatino Linotype" w:cs="Times New Roman"/>
                  <w:noProof/>
                  <w:sz w:val="20"/>
                  <w:szCs w:val="24"/>
                </w:rPr>
                <w:t>, vol. 35, no. 1, p. 1, 2020.</w:t>
              </w:r>
            </w:p>
            <w:p w14:paraId="3CEF7CFF" w14:textId="1191D247" w:rsidR="00601DF4" w:rsidRPr="00601DF4" w:rsidRDefault="00601DF4" w:rsidP="009169DA">
              <w:pPr>
                <w:widowControl w:val="0"/>
                <w:autoSpaceDE w:val="0"/>
                <w:autoSpaceDN w:val="0"/>
                <w:adjustRightInd w:val="0"/>
                <w:spacing w:after="0" w:line="240" w:lineRule="auto"/>
                <w:ind w:left="640" w:hanging="640"/>
                <w:jc w:val="both"/>
                <w:rPr>
                  <w:rFonts w:ascii="Palatino Linotype" w:hAnsi="Palatino Linotype" w:cs="Times New Roman"/>
                  <w:noProof/>
                  <w:sz w:val="20"/>
                  <w:szCs w:val="24"/>
                </w:rPr>
              </w:pPr>
              <w:r w:rsidRPr="00601DF4">
                <w:rPr>
                  <w:rFonts w:ascii="Palatino Linotype" w:hAnsi="Palatino Linotype" w:cs="Times New Roman"/>
                  <w:noProof/>
                  <w:sz w:val="20"/>
                  <w:szCs w:val="24"/>
                </w:rPr>
                <w:t>[35]</w:t>
              </w:r>
              <w:r w:rsidRPr="00601DF4">
                <w:rPr>
                  <w:rFonts w:ascii="Palatino Linotype" w:hAnsi="Palatino Linotype" w:cs="Times New Roman"/>
                  <w:noProof/>
                  <w:sz w:val="20"/>
                  <w:szCs w:val="24"/>
                </w:rPr>
                <w:tab/>
                <w:t xml:space="preserve">Y. M. Sari, B. Purwandari, R. Satria, Y. Wirani, I. Solichah, and T. I. Nastiti, “Factors Influencing Users Acceptance of Online Consultation Feature on the SOBAT-UKM Portal,” </w:t>
              </w:r>
              <w:r w:rsidRPr="00601DF4">
                <w:rPr>
                  <w:rFonts w:ascii="Palatino Linotype" w:hAnsi="Palatino Linotype" w:cs="Times New Roman"/>
                  <w:i/>
                  <w:iCs/>
                  <w:noProof/>
                  <w:sz w:val="20"/>
                  <w:szCs w:val="24"/>
                </w:rPr>
                <w:t>2018 Int</w:t>
              </w:r>
              <w:r w:rsidR="00BA2DD4">
                <w:rPr>
                  <w:rFonts w:ascii="Palatino Linotype" w:hAnsi="Palatino Linotype" w:cs="Times New Roman"/>
                  <w:i/>
                  <w:iCs/>
                  <w:noProof/>
                  <w:sz w:val="20"/>
                  <w:szCs w:val="24"/>
                </w:rPr>
                <w:t>ernational</w:t>
              </w:r>
              <w:r w:rsidRPr="00601DF4">
                <w:rPr>
                  <w:rFonts w:ascii="Palatino Linotype" w:hAnsi="Palatino Linotype" w:cs="Times New Roman"/>
                  <w:i/>
                  <w:iCs/>
                  <w:noProof/>
                  <w:sz w:val="20"/>
                  <w:szCs w:val="24"/>
                </w:rPr>
                <w:t xml:space="preserve"> Conf</w:t>
              </w:r>
              <w:r w:rsidR="00BA2DD4">
                <w:rPr>
                  <w:rFonts w:ascii="Palatino Linotype" w:hAnsi="Palatino Linotype" w:cs="Times New Roman"/>
                  <w:i/>
                  <w:iCs/>
                  <w:noProof/>
                  <w:sz w:val="20"/>
                  <w:szCs w:val="24"/>
                </w:rPr>
                <w:t>erence of</w:t>
              </w:r>
              <w:r w:rsidRPr="00601DF4">
                <w:rPr>
                  <w:rFonts w:ascii="Palatino Linotype" w:hAnsi="Palatino Linotype" w:cs="Times New Roman"/>
                  <w:i/>
                  <w:iCs/>
                  <w:noProof/>
                  <w:sz w:val="20"/>
                  <w:szCs w:val="24"/>
                </w:rPr>
                <w:t xml:space="preserve"> Inf</w:t>
              </w:r>
              <w:r w:rsidR="00BA2DD4">
                <w:rPr>
                  <w:rFonts w:ascii="Palatino Linotype" w:hAnsi="Palatino Linotype" w:cs="Times New Roman"/>
                  <w:i/>
                  <w:iCs/>
                  <w:noProof/>
                  <w:sz w:val="20"/>
                  <w:szCs w:val="24"/>
                </w:rPr>
                <w:t>ormation</w:t>
              </w:r>
              <w:r w:rsidRPr="00601DF4">
                <w:rPr>
                  <w:rFonts w:ascii="Palatino Linotype" w:hAnsi="Palatino Linotype" w:cs="Times New Roman"/>
                  <w:i/>
                  <w:iCs/>
                  <w:noProof/>
                  <w:sz w:val="20"/>
                  <w:szCs w:val="24"/>
                </w:rPr>
                <w:t xml:space="preserve"> Technol</w:t>
              </w:r>
              <w:r w:rsidR="00BA2DD4">
                <w:rPr>
                  <w:rFonts w:ascii="Palatino Linotype" w:hAnsi="Palatino Linotype" w:cs="Times New Roman"/>
                  <w:i/>
                  <w:iCs/>
                  <w:noProof/>
                  <w:sz w:val="20"/>
                  <w:szCs w:val="24"/>
                </w:rPr>
                <w:t>ogy</w:t>
              </w:r>
              <w:r w:rsidRPr="00601DF4">
                <w:rPr>
                  <w:rFonts w:ascii="Palatino Linotype" w:hAnsi="Palatino Linotype" w:cs="Times New Roman"/>
                  <w:i/>
                  <w:iCs/>
                  <w:noProof/>
                  <w:sz w:val="20"/>
                  <w:szCs w:val="24"/>
                </w:rPr>
                <w:t xml:space="preserve"> Syst</w:t>
              </w:r>
              <w:r w:rsidR="00BA2DD4">
                <w:rPr>
                  <w:rFonts w:ascii="Palatino Linotype" w:hAnsi="Palatino Linotype" w:cs="Times New Roman"/>
                  <w:i/>
                  <w:iCs/>
                  <w:noProof/>
                  <w:sz w:val="20"/>
                  <w:szCs w:val="24"/>
                </w:rPr>
                <w:t>ems and</w:t>
              </w:r>
              <w:r w:rsidRPr="00601DF4">
                <w:rPr>
                  <w:rFonts w:ascii="Palatino Linotype" w:hAnsi="Palatino Linotype" w:cs="Times New Roman"/>
                  <w:i/>
                  <w:iCs/>
                  <w:noProof/>
                  <w:sz w:val="20"/>
                  <w:szCs w:val="24"/>
                </w:rPr>
                <w:t xml:space="preserve"> Innov</w:t>
              </w:r>
              <w:r w:rsidR="00BA2DD4">
                <w:rPr>
                  <w:rFonts w:ascii="Palatino Linotype" w:hAnsi="Palatino Linotype" w:cs="Times New Roman"/>
                  <w:i/>
                  <w:iCs/>
                  <w:noProof/>
                  <w:sz w:val="20"/>
                  <w:szCs w:val="24"/>
                </w:rPr>
                <w:t>ation,</w:t>
              </w:r>
              <w:r w:rsidRPr="00601DF4">
                <w:rPr>
                  <w:rFonts w:ascii="Palatino Linotype" w:hAnsi="Palatino Linotype" w:cs="Times New Roman"/>
                  <w:i/>
                  <w:iCs/>
                  <w:noProof/>
                  <w:sz w:val="20"/>
                  <w:szCs w:val="24"/>
                </w:rPr>
                <w:t xml:space="preserve"> ICITSI 2018 - Proc.</w:t>
              </w:r>
              <w:r w:rsidRPr="00601DF4">
                <w:rPr>
                  <w:rFonts w:ascii="Palatino Linotype" w:hAnsi="Palatino Linotype" w:cs="Times New Roman"/>
                  <w:noProof/>
                  <w:sz w:val="20"/>
                  <w:szCs w:val="24"/>
                </w:rPr>
                <w:t>, pp. 278–283, 2018.</w:t>
              </w:r>
            </w:p>
            <w:p w14:paraId="38E2949C" w14:textId="0FF4FF1E" w:rsidR="00227A76" w:rsidRDefault="00601DF4" w:rsidP="009169DA">
              <w:pPr>
                <w:widowControl w:val="0"/>
                <w:autoSpaceDE w:val="0"/>
                <w:autoSpaceDN w:val="0"/>
                <w:adjustRightInd w:val="0"/>
                <w:spacing w:after="0" w:line="240" w:lineRule="auto"/>
                <w:ind w:left="640" w:hanging="640"/>
                <w:jc w:val="both"/>
              </w:pPr>
              <w:r w:rsidRPr="00601DF4">
                <w:rPr>
                  <w:rFonts w:ascii="Palatino Linotype" w:hAnsi="Palatino Linotype" w:cs="Times New Roman"/>
                  <w:noProof/>
                  <w:sz w:val="20"/>
                  <w:szCs w:val="24"/>
                </w:rPr>
                <w:t>[36]</w:t>
              </w:r>
              <w:r w:rsidRPr="00601DF4">
                <w:rPr>
                  <w:rFonts w:ascii="Palatino Linotype" w:hAnsi="Palatino Linotype" w:cs="Times New Roman"/>
                  <w:noProof/>
                  <w:sz w:val="20"/>
                  <w:szCs w:val="24"/>
                </w:rPr>
                <w:tab/>
                <w:t xml:space="preserve">A. M. Baabdullah, A. A. Alalwan, N. P. Rana, H. Kizgin, and P. Patil, “Consumer use of mobile banking (M-Banking) in Saudi Arabia: Towards an integrated model,” </w:t>
              </w:r>
              <w:r w:rsidR="00BA2DD4" w:rsidRPr="00BA2DD4">
                <w:rPr>
                  <w:rFonts w:ascii="Palatino Linotype" w:hAnsi="Palatino Linotype" w:cs="Times New Roman"/>
                  <w:i/>
                  <w:iCs/>
                  <w:noProof/>
                  <w:sz w:val="20"/>
                  <w:szCs w:val="24"/>
                </w:rPr>
                <w:t>International Journal of Information Management</w:t>
              </w:r>
              <w:r w:rsidRPr="00601DF4">
                <w:rPr>
                  <w:rFonts w:ascii="Palatino Linotype" w:hAnsi="Palatino Linotype" w:cs="Times New Roman"/>
                  <w:noProof/>
                  <w:sz w:val="20"/>
                  <w:szCs w:val="24"/>
                </w:rPr>
                <w:t>, vol. 44, no. August 2018, pp. 38–52, 2019.</w:t>
              </w:r>
              <w:r w:rsidR="00227A76">
                <w:fldChar w:fldCharType="end"/>
              </w:r>
            </w:p>
            <w:p w14:paraId="7EEE3A8B" w14:textId="1FD81354" w:rsidR="00B42CC1" w:rsidRPr="00BF06EA" w:rsidRDefault="00E953B5" w:rsidP="009A3C20">
              <w:pPr>
                <w:pStyle w:val="Referensi"/>
                <w:spacing w:line="240" w:lineRule="auto"/>
              </w:pPr>
            </w:p>
          </w:sdtContent>
        </w:sdt>
      </w:sdtContent>
    </w:sdt>
    <w:sectPr w:rsidR="00B42CC1" w:rsidRPr="00BF06EA" w:rsidSect="003F05D7">
      <w:headerReference w:type="even" r:id="rId20"/>
      <w:headerReference w:type="default" r:id="rId21"/>
      <w:footerReference w:type="even" r:id="rId22"/>
      <w:footerReference w:type="default" r:id="rId23"/>
      <w:headerReference w:type="first" r:id="rId24"/>
      <w:footerReference w:type="first" r:id="rId25"/>
      <w:pgSz w:w="11907" w:h="16840"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A8BF24" w14:textId="77777777" w:rsidR="00E953B5" w:rsidRDefault="00E953B5" w:rsidP="008A628A">
      <w:pPr>
        <w:spacing w:after="0" w:line="240" w:lineRule="auto"/>
      </w:pPr>
      <w:r>
        <w:separator/>
      </w:r>
    </w:p>
  </w:endnote>
  <w:endnote w:type="continuationSeparator" w:id="0">
    <w:p w14:paraId="13C5F3C5" w14:textId="77777777" w:rsidR="00E953B5" w:rsidRDefault="00E953B5" w:rsidP="008A6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Nova Light">
    <w:altName w:val="Arial Nova Light"/>
    <w:charset w:val="00"/>
    <w:family w:val="swiss"/>
    <w:pitch w:val="variable"/>
    <w:sig w:usb0="0000028F" w:usb1="00000002"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3A1149" w14:textId="77777777" w:rsidR="00D97BDA" w:rsidRDefault="00D97BDA" w:rsidP="00391853">
    <w:pPr>
      <w:pStyle w:val="Hakcipta"/>
      <w:pBdr>
        <w:top w:val="single" w:sz="4" w:space="1" w:color="auto"/>
      </w:pBdr>
      <w:jc w:val="left"/>
      <w:rPr>
        <w:sz w:val="16"/>
        <w:szCs w:val="16"/>
      </w:rPr>
    </w:pPr>
    <w:r w:rsidRPr="00EA027A">
      <w:rPr>
        <w:sz w:val="16"/>
        <w:szCs w:val="16"/>
      </w:rPr>
      <w:t xml:space="preserve">Write some words of tile … </w:t>
    </w:r>
    <w:r>
      <w:rPr>
        <w:sz w:val="16"/>
        <w:szCs w:val="16"/>
      </w:rPr>
      <w:tab/>
    </w:r>
    <w:r>
      <w:rPr>
        <w:sz w:val="16"/>
        <w:szCs w:val="16"/>
      </w:rPr>
      <w:tab/>
    </w:r>
    <w:r>
      <w:rPr>
        <w:sz w:val="16"/>
        <w:szCs w:val="16"/>
      </w:rPr>
      <w:tab/>
    </w:r>
    <w:r>
      <w:rPr>
        <w:sz w:val="16"/>
        <w:szCs w:val="16"/>
      </w:rPr>
      <w:tab/>
    </w:r>
    <w:r>
      <w:rPr>
        <w:sz w:val="16"/>
        <w:szCs w:val="16"/>
      </w:rPr>
      <w:tab/>
      <w:t xml:space="preserve">                       </w:t>
    </w:r>
    <w:hyperlink r:id="rId1" w:history="1">
      <w:r w:rsidRPr="009257AD">
        <w:rPr>
          <w:rStyle w:val="Hyperlink"/>
          <w:sz w:val="16"/>
          <w:szCs w:val="16"/>
        </w:rPr>
        <w:t>http://doi.org/10.26594/register.v6i1.idarticle</w:t>
      </w:r>
    </w:hyperlink>
  </w:p>
  <w:p w14:paraId="15CD68E8" w14:textId="4EE8CF56" w:rsidR="00D97BDA" w:rsidRPr="00D3723C" w:rsidRDefault="00D97BDA" w:rsidP="00D3723C">
    <w:pPr>
      <w:pStyle w:val="Hakcipta"/>
      <w:rPr>
        <w:szCs w:val="14"/>
      </w:rPr>
    </w:pPr>
    <w:r w:rsidRPr="00D3723C">
      <w:rPr>
        <w:szCs w:val="14"/>
      </w:rPr>
      <w:t>202</w:t>
    </w:r>
    <w:r>
      <w:rPr>
        <w:szCs w:val="14"/>
      </w:rPr>
      <w:t>1</w:t>
    </w:r>
    <w:r w:rsidRPr="00D3723C">
      <w:rPr>
        <w:szCs w:val="14"/>
      </w:rPr>
      <w:t xml:space="preserve"> Register: </w:t>
    </w:r>
    <w:proofErr w:type="spellStart"/>
    <w:r w:rsidRPr="001B7649">
      <w:rPr>
        <w:i/>
        <w:iCs/>
        <w:szCs w:val="14"/>
      </w:rPr>
      <w:t>Jurnal</w:t>
    </w:r>
    <w:proofErr w:type="spellEnd"/>
    <w:r w:rsidRPr="001B7649">
      <w:rPr>
        <w:i/>
        <w:iCs/>
        <w:szCs w:val="14"/>
      </w:rPr>
      <w:t xml:space="preserve"> </w:t>
    </w:r>
    <w:proofErr w:type="spellStart"/>
    <w:r w:rsidRPr="001B7649">
      <w:rPr>
        <w:i/>
        <w:iCs/>
        <w:szCs w:val="14"/>
      </w:rPr>
      <w:t>Ilmiah</w:t>
    </w:r>
    <w:proofErr w:type="spellEnd"/>
    <w:r w:rsidRPr="001B7649">
      <w:rPr>
        <w:i/>
        <w:iCs/>
        <w:szCs w:val="14"/>
      </w:rPr>
      <w:t xml:space="preserve"> </w:t>
    </w:r>
    <w:proofErr w:type="spellStart"/>
    <w:r w:rsidRPr="001B7649">
      <w:rPr>
        <w:i/>
        <w:iCs/>
        <w:szCs w:val="14"/>
      </w:rPr>
      <w:t>Teknologi</w:t>
    </w:r>
    <w:proofErr w:type="spellEnd"/>
    <w:r w:rsidRPr="001B7649">
      <w:rPr>
        <w:i/>
        <w:iCs/>
        <w:szCs w:val="14"/>
      </w:rPr>
      <w:t xml:space="preserve"> </w:t>
    </w:r>
    <w:proofErr w:type="spellStart"/>
    <w:r w:rsidRPr="001B7649">
      <w:rPr>
        <w:i/>
        <w:iCs/>
        <w:szCs w:val="14"/>
      </w:rPr>
      <w:t>Sistem</w:t>
    </w:r>
    <w:proofErr w:type="spellEnd"/>
    <w:r w:rsidRPr="001B7649">
      <w:rPr>
        <w:i/>
        <w:iCs/>
        <w:szCs w:val="14"/>
      </w:rPr>
      <w:t xml:space="preserve"> </w:t>
    </w:r>
    <w:proofErr w:type="spellStart"/>
    <w:r w:rsidRPr="001B7649">
      <w:rPr>
        <w:i/>
        <w:iCs/>
        <w:szCs w:val="14"/>
      </w:rPr>
      <w:t>Informasi</w:t>
    </w:r>
    <w:proofErr w:type="spellEnd"/>
    <w:r w:rsidRPr="00D3723C">
      <w:rPr>
        <w:szCs w:val="14"/>
      </w:rPr>
      <w:t xml:space="preserve"> (Scientific Journal of Information System Technology) with CC BY NC SA license.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6B0141" w14:textId="77777777" w:rsidR="00D97BDA" w:rsidRDefault="00D97BDA" w:rsidP="00391853">
    <w:pPr>
      <w:pStyle w:val="Hakcipta"/>
      <w:pBdr>
        <w:top w:val="single" w:sz="4" w:space="1" w:color="auto"/>
      </w:pBdr>
      <w:jc w:val="left"/>
      <w:rPr>
        <w:sz w:val="16"/>
        <w:szCs w:val="16"/>
      </w:rPr>
    </w:pPr>
    <w:r w:rsidRPr="00EA027A">
      <w:rPr>
        <w:sz w:val="16"/>
        <w:szCs w:val="16"/>
      </w:rPr>
      <w:t xml:space="preserve">Write some words of tile … </w:t>
    </w:r>
    <w:r>
      <w:rPr>
        <w:sz w:val="16"/>
        <w:szCs w:val="16"/>
      </w:rPr>
      <w:tab/>
    </w:r>
    <w:r>
      <w:rPr>
        <w:sz w:val="16"/>
        <w:szCs w:val="16"/>
      </w:rPr>
      <w:tab/>
    </w:r>
    <w:r>
      <w:rPr>
        <w:sz w:val="16"/>
        <w:szCs w:val="16"/>
      </w:rPr>
      <w:tab/>
    </w:r>
    <w:r>
      <w:rPr>
        <w:sz w:val="16"/>
        <w:szCs w:val="16"/>
      </w:rPr>
      <w:tab/>
    </w:r>
    <w:r>
      <w:rPr>
        <w:sz w:val="16"/>
        <w:szCs w:val="16"/>
      </w:rPr>
      <w:tab/>
      <w:t xml:space="preserve">                       </w:t>
    </w:r>
    <w:hyperlink r:id="rId1" w:history="1">
      <w:r w:rsidRPr="009257AD">
        <w:rPr>
          <w:rStyle w:val="Hyperlink"/>
          <w:sz w:val="16"/>
          <w:szCs w:val="16"/>
        </w:rPr>
        <w:t>http://doi.org/10.26594/register.v6i1.idarticle</w:t>
      </w:r>
    </w:hyperlink>
  </w:p>
  <w:p w14:paraId="7871D5CC" w14:textId="5352C714" w:rsidR="00D97BDA" w:rsidRPr="00211703" w:rsidRDefault="00D97BDA" w:rsidP="00D3723C">
    <w:pPr>
      <w:pStyle w:val="Hakcipta"/>
      <w:rPr>
        <w:sz w:val="16"/>
        <w:szCs w:val="16"/>
      </w:rPr>
    </w:pPr>
    <w:r w:rsidRPr="00D3723C">
      <w:rPr>
        <w:szCs w:val="14"/>
      </w:rPr>
      <w:t>202</w:t>
    </w:r>
    <w:r>
      <w:rPr>
        <w:szCs w:val="14"/>
      </w:rPr>
      <w:t>1</w:t>
    </w:r>
    <w:r w:rsidRPr="00D3723C">
      <w:rPr>
        <w:szCs w:val="14"/>
      </w:rPr>
      <w:t xml:space="preserve"> Register: </w:t>
    </w:r>
    <w:proofErr w:type="spellStart"/>
    <w:r w:rsidRPr="001B7649">
      <w:rPr>
        <w:i/>
        <w:iCs/>
        <w:szCs w:val="14"/>
      </w:rPr>
      <w:t>Jurnal</w:t>
    </w:r>
    <w:proofErr w:type="spellEnd"/>
    <w:r w:rsidRPr="001B7649">
      <w:rPr>
        <w:i/>
        <w:iCs/>
        <w:szCs w:val="14"/>
      </w:rPr>
      <w:t xml:space="preserve"> </w:t>
    </w:r>
    <w:proofErr w:type="spellStart"/>
    <w:r w:rsidRPr="001B7649">
      <w:rPr>
        <w:i/>
        <w:iCs/>
        <w:szCs w:val="14"/>
      </w:rPr>
      <w:t>Ilmiah</w:t>
    </w:r>
    <w:proofErr w:type="spellEnd"/>
    <w:r w:rsidRPr="001B7649">
      <w:rPr>
        <w:i/>
        <w:iCs/>
        <w:szCs w:val="14"/>
      </w:rPr>
      <w:t xml:space="preserve"> </w:t>
    </w:r>
    <w:proofErr w:type="spellStart"/>
    <w:r w:rsidRPr="001B7649">
      <w:rPr>
        <w:i/>
        <w:iCs/>
        <w:szCs w:val="14"/>
      </w:rPr>
      <w:t>Teknologi</w:t>
    </w:r>
    <w:proofErr w:type="spellEnd"/>
    <w:r w:rsidRPr="001B7649">
      <w:rPr>
        <w:i/>
        <w:iCs/>
        <w:szCs w:val="14"/>
      </w:rPr>
      <w:t xml:space="preserve"> </w:t>
    </w:r>
    <w:proofErr w:type="spellStart"/>
    <w:r w:rsidRPr="001B7649">
      <w:rPr>
        <w:i/>
        <w:iCs/>
        <w:szCs w:val="14"/>
      </w:rPr>
      <w:t>Sistem</w:t>
    </w:r>
    <w:proofErr w:type="spellEnd"/>
    <w:r w:rsidRPr="001B7649">
      <w:rPr>
        <w:i/>
        <w:iCs/>
        <w:szCs w:val="14"/>
      </w:rPr>
      <w:t xml:space="preserve"> </w:t>
    </w:r>
    <w:proofErr w:type="spellStart"/>
    <w:r w:rsidRPr="001B7649">
      <w:rPr>
        <w:i/>
        <w:iCs/>
        <w:szCs w:val="14"/>
      </w:rPr>
      <w:t>Informasi</w:t>
    </w:r>
    <w:proofErr w:type="spellEnd"/>
    <w:r w:rsidRPr="00D3723C">
      <w:rPr>
        <w:szCs w:val="14"/>
      </w:rPr>
      <w:t xml:space="preserve"> (Scientific Journal of Information System Technology) with CC BY NC SA license.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52817A" w14:textId="77777777" w:rsidR="00D97BDA" w:rsidRDefault="00D97BDA" w:rsidP="00B6699F">
    <w:pPr>
      <w:pStyle w:val="Hakcipta"/>
      <w:pBdr>
        <w:top w:val="single" w:sz="4" w:space="1" w:color="auto"/>
      </w:pBdr>
      <w:jc w:val="left"/>
      <w:rPr>
        <w:sz w:val="16"/>
        <w:szCs w:val="16"/>
      </w:rPr>
    </w:pPr>
    <w:r w:rsidRPr="00EA027A">
      <w:rPr>
        <w:sz w:val="16"/>
        <w:szCs w:val="16"/>
      </w:rPr>
      <w:t xml:space="preserve">Write some words of tile … </w:t>
    </w:r>
    <w:r>
      <w:rPr>
        <w:sz w:val="16"/>
        <w:szCs w:val="16"/>
      </w:rPr>
      <w:tab/>
    </w:r>
    <w:r>
      <w:rPr>
        <w:sz w:val="16"/>
        <w:szCs w:val="16"/>
      </w:rPr>
      <w:tab/>
    </w:r>
    <w:r>
      <w:rPr>
        <w:sz w:val="16"/>
        <w:szCs w:val="16"/>
      </w:rPr>
      <w:tab/>
    </w:r>
    <w:r>
      <w:rPr>
        <w:sz w:val="16"/>
        <w:szCs w:val="16"/>
      </w:rPr>
      <w:tab/>
    </w:r>
    <w:r>
      <w:rPr>
        <w:sz w:val="16"/>
        <w:szCs w:val="16"/>
      </w:rPr>
      <w:tab/>
      <w:t xml:space="preserve">                       </w:t>
    </w:r>
    <w:hyperlink r:id="rId1" w:history="1">
      <w:r w:rsidRPr="009257AD">
        <w:rPr>
          <w:rStyle w:val="Hyperlink"/>
          <w:sz w:val="16"/>
          <w:szCs w:val="16"/>
        </w:rPr>
        <w:t>http://doi.org/10.26594/register.v6i1.idarticle</w:t>
      </w:r>
    </w:hyperlink>
  </w:p>
  <w:p w14:paraId="4EF65116" w14:textId="430029BC" w:rsidR="00D97BDA" w:rsidRPr="007446B9" w:rsidRDefault="00D97BDA" w:rsidP="001B7649">
    <w:pPr>
      <w:pStyle w:val="Hakcipta"/>
      <w:rPr>
        <w:sz w:val="16"/>
        <w:szCs w:val="16"/>
      </w:rPr>
    </w:pPr>
    <w:r w:rsidRPr="006837AF">
      <w:t>202</w:t>
    </w:r>
    <w:r>
      <w:t>1</w:t>
    </w:r>
    <w:r w:rsidRPr="003446E4">
      <w:t xml:space="preserve"> Register: </w:t>
    </w:r>
    <w:proofErr w:type="spellStart"/>
    <w:r w:rsidRPr="003446E4">
      <w:rPr>
        <w:i/>
        <w:iCs/>
      </w:rPr>
      <w:t>Jurnal</w:t>
    </w:r>
    <w:proofErr w:type="spellEnd"/>
    <w:r w:rsidRPr="003446E4">
      <w:rPr>
        <w:i/>
        <w:iCs/>
      </w:rPr>
      <w:t xml:space="preserve"> </w:t>
    </w:r>
    <w:proofErr w:type="spellStart"/>
    <w:r w:rsidRPr="003446E4">
      <w:rPr>
        <w:i/>
        <w:iCs/>
      </w:rPr>
      <w:t>Ilmiah</w:t>
    </w:r>
    <w:proofErr w:type="spellEnd"/>
    <w:r w:rsidRPr="003446E4">
      <w:rPr>
        <w:i/>
        <w:iCs/>
      </w:rPr>
      <w:t xml:space="preserve"> </w:t>
    </w:r>
    <w:proofErr w:type="spellStart"/>
    <w:r w:rsidRPr="003446E4">
      <w:rPr>
        <w:i/>
        <w:iCs/>
      </w:rPr>
      <w:t>Teknologi</w:t>
    </w:r>
    <w:proofErr w:type="spellEnd"/>
    <w:r w:rsidRPr="003446E4">
      <w:rPr>
        <w:i/>
        <w:iCs/>
      </w:rPr>
      <w:t xml:space="preserve"> </w:t>
    </w:r>
    <w:proofErr w:type="spellStart"/>
    <w:r w:rsidRPr="003446E4">
      <w:rPr>
        <w:i/>
        <w:iCs/>
      </w:rPr>
      <w:t>Sistem</w:t>
    </w:r>
    <w:proofErr w:type="spellEnd"/>
    <w:r w:rsidRPr="003446E4">
      <w:rPr>
        <w:i/>
        <w:iCs/>
      </w:rPr>
      <w:t xml:space="preserve"> </w:t>
    </w:r>
    <w:proofErr w:type="spellStart"/>
    <w:r w:rsidRPr="003446E4">
      <w:rPr>
        <w:i/>
        <w:iCs/>
      </w:rPr>
      <w:t>Informasi</w:t>
    </w:r>
    <w:proofErr w:type="spellEnd"/>
    <w:r w:rsidRPr="003446E4">
      <w:rPr>
        <w:i/>
        <w:iCs/>
      </w:rPr>
      <w:t xml:space="preserve"> </w:t>
    </w:r>
    <w:r w:rsidRPr="003446E4">
      <w:t>(Scientific Journal of Information System Technology)</w:t>
    </w:r>
    <w:r>
      <w:t xml:space="preserve"> </w:t>
    </w:r>
    <w:r w:rsidRPr="00277474">
      <w:t>with CC BY</w:t>
    </w:r>
    <w:r>
      <w:t xml:space="preserve"> NC SA</w:t>
    </w:r>
    <w:r w:rsidRPr="00277474">
      <w:t xml:space="preserve"> license.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4F73C8" w14:textId="77777777" w:rsidR="00E953B5" w:rsidRDefault="00E953B5" w:rsidP="008A628A">
      <w:pPr>
        <w:spacing w:after="0" w:line="240" w:lineRule="auto"/>
      </w:pPr>
      <w:r>
        <w:separator/>
      </w:r>
    </w:p>
  </w:footnote>
  <w:footnote w:type="continuationSeparator" w:id="0">
    <w:p w14:paraId="6CF00D37" w14:textId="77777777" w:rsidR="00E953B5" w:rsidRDefault="00E953B5" w:rsidP="008A62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4619864"/>
      <w:docPartObj>
        <w:docPartGallery w:val="Page Numbers (Top of Page)"/>
        <w:docPartUnique/>
      </w:docPartObj>
    </w:sdtPr>
    <w:sdtEndPr>
      <w:rPr>
        <w:b/>
        <w:sz w:val="16"/>
        <w:szCs w:val="16"/>
      </w:rPr>
    </w:sdtEndPr>
    <w:sdtContent>
      <w:p w14:paraId="1E452419" w14:textId="77777777" w:rsidR="00D97BDA" w:rsidRPr="00DA710F" w:rsidRDefault="00D97BDA" w:rsidP="00301EDC">
        <w:pPr>
          <w:pStyle w:val="Hakcipta"/>
          <w:jc w:val="left"/>
          <w:rPr>
            <w:b/>
            <w:sz w:val="16"/>
            <w:szCs w:val="16"/>
          </w:rPr>
        </w:pPr>
        <w:r w:rsidRPr="00DA710F">
          <w:rPr>
            <w:b/>
            <w:sz w:val="16"/>
            <w:szCs w:val="16"/>
          </w:rPr>
          <w:fldChar w:fldCharType="begin"/>
        </w:r>
        <w:r w:rsidRPr="00DA710F">
          <w:rPr>
            <w:b/>
            <w:sz w:val="16"/>
            <w:szCs w:val="16"/>
          </w:rPr>
          <w:instrText xml:space="preserve"> PAGE   \* MERGEFORMAT </w:instrText>
        </w:r>
        <w:r w:rsidRPr="00DA710F">
          <w:rPr>
            <w:b/>
            <w:sz w:val="16"/>
            <w:szCs w:val="16"/>
          </w:rPr>
          <w:fldChar w:fldCharType="separate"/>
        </w:r>
        <w:r>
          <w:rPr>
            <w:b/>
            <w:noProof/>
            <w:sz w:val="16"/>
            <w:szCs w:val="16"/>
          </w:rPr>
          <w:t>4</w:t>
        </w:r>
        <w:r w:rsidRPr="00DA710F">
          <w:rPr>
            <w:b/>
            <w:sz w:val="16"/>
            <w:szCs w:val="16"/>
          </w:rPr>
          <w:fldChar w:fldCharType="end"/>
        </w:r>
      </w:p>
    </w:sdtContent>
  </w:sdt>
  <w:p w14:paraId="5D86A49A" w14:textId="77777777" w:rsidR="00D97BDA" w:rsidRPr="009A1BBA" w:rsidRDefault="00D97BDA" w:rsidP="00301EDC">
    <w:pPr>
      <w:pStyle w:val="Hakcipta"/>
      <w:rPr>
        <w:sz w:val="16"/>
        <w:szCs w:val="16"/>
      </w:rPr>
    </w:pPr>
    <w:r w:rsidRPr="00DA710F">
      <w:rPr>
        <w:sz w:val="16"/>
        <w:szCs w:val="16"/>
      </w:rPr>
      <w:t xml:space="preserve">                                                                                                    ISSN 2502-3357 </w:t>
    </w:r>
    <w:r w:rsidRPr="009A1BBA">
      <w:rPr>
        <w:sz w:val="16"/>
        <w:szCs w:val="16"/>
      </w:rPr>
      <w:t xml:space="preserve">(Online) </w:t>
    </w:r>
  </w:p>
  <w:p w14:paraId="116599C4" w14:textId="09E68BF3" w:rsidR="00D97BDA" w:rsidRPr="00DA710F" w:rsidRDefault="00D97BDA" w:rsidP="000E2BD9">
    <w:pPr>
      <w:pStyle w:val="Hakcipta"/>
      <w:pBdr>
        <w:bottom w:val="single" w:sz="4" w:space="1" w:color="auto"/>
      </w:pBdr>
      <w:jc w:val="both"/>
      <w:rPr>
        <w:sz w:val="16"/>
        <w:szCs w:val="16"/>
      </w:rPr>
    </w:pPr>
    <w:r>
      <w:rPr>
        <w:color w:val="0070C0"/>
        <w:sz w:val="16"/>
        <w:szCs w:val="16"/>
      </w:rPr>
      <w:t xml:space="preserve">F. </w:t>
    </w:r>
    <w:proofErr w:type="spellStart"/>
    <w:r>
      <w:rPr>
        <w:color w:val="0070C0"/>
        <w:sz w:val="16"/>
        <w:szCs w:val="16"/>
      </w:rPr>
      <w:t>Fulan</w:t>
    </w:r>
    <w:proofErr w:type="spellEnd"/>
    <w:r>
      <w:rPr>
        <w:color w:val="0070C0"/>
        <w:sz w:val="16"/>
        <w:szCs w:val="16"/>
      </w:rPr>
      <w:t xml:space="preserve">, </w:t>
    </w:r>
    <w:r w:rsidRPr="00D41E52">
      <w:rPr>
        <w:color w:val="0070C0"/>
        <w:sz w:val="16"/>
        <w:szCs w:val="16"/>
      </w:rPr>
      <w:t>et. al.</w:t>
    </w:r>
    <w:r w:rsidRPr="00DA14CF">
      <w:rPr>
        <w:color w:val="0070C0"/>
        <w:sz w:val="16"/>
        <w:szCs w:val="16"/>
      </w:rPr>
      <w:t xml:space="preserve">/Register </w:t>
    </w:r>
    <w:r>
      <w:rPr>
        <w:color w:val="0070C0"/>
        <w:sz w:val="16"/>
        <w:szCs w:val="16"/>
      </w:rPr>
      <w:t>7</w:t>
    </w:r>
    <w:r w:rsidRPr="00DA14CF">
      <w:rPr>
        <w:color w:val="0070C0"/>
        <w:sz w:val="16"/>
        <w:szCs w:val="16"/>
      </w:rPr>
      <w:t xml:space="preserve"> (</w:t>
    </w:r>
    <w:r>
      <w:rPr>
        <w:color w:val="0070C0"/>
        <w:sz w:val="16"/>
        <w:szCs w:val="16"/>
      </w:rPr>
      <w:t>1</w:t>
    </w:r>
    <w:r w:rsidRPr="00DA14CF">
      <w:rPr>
        <w:color w:val="0070C0"/>
        <w:sz w:val="16"/>
        <w:szCs w:val="16"/>
      </w:rPr>
      <w:t>)</w:t>
    </w:r>
    <w:r>
      <w:rPr>
        <w:color w:val="0070C0"/>
        <w:sz w:val="16"/>
        <w:szCs w:val="16"/>
      </w:rPr>
      <w:t xml:space="preserve"> January</w:t>
    </w:r>
    <w:r w:rsidRPr="00DA14CF">
      <w:rPr>
        <w:color w:val="0070C0"/>
        <w:sz w:val="16"/>
        <w:szCs w:val="16"/>
      </w:rPr>
      <w:t xml:space="preserve"> </w:t>
    </w:r>
    <w:r>
      <w:rPr>
        <w:color w:val="0070C0"/>
        <w:sz w:val="16"/>
        <w:szCs w:val="16"/>
      </w:rPr>
      <w:t>2021 pp. 1-5</w:t>
    </w:r>
    <w:r>
      <w:rPr>
        <w:color w:val="0070C0"/>
        <w:sz w:val="16"/>
        <w:szCs w:val="16"/>
      </w:rPr>
      <w:tab/>
    </w:r>
    <w:r>
      <w:rPr>
        <w:color w:val="0070C0"/>
        <w:sz w:val="16"/>
        <w:szCs w:val="16"/>
      </w:rPr>
      <w:tab/>
    </w:r>
    <w:r w:rsidRPr="00DA14CF">
      <w:rPr>
        <w:sz w:val="16"/>
        <w:szCs w:val="16"/>
      </w:rPr>
      <w:t xml:space="preserve"> </w:t>
    </w:r>
    <w:r w:rsidRPr="00DA710F">
      <w:rPr>
        <w:sz w:val="16"/>
        <w:szCs w:val="16"/>
      </w:rPr>
      <w:t xml:space="preserve">     </w:t>
    </w:r>
    <w:r w:rsidRPr="00DA710F">
      <w:rPr>
        <w:sz w:val="16"/>
        <w:szCs w:val="16"/>
      </w:rPr>
      <w:tab/>
    </w:r>
    <w:r w:rsidRPr="00DA710F">
      <w:rPr>
        <w:sz w:val="16"/>
        <w:szCs w:val="16"/>
      </w:rPr>
      <w:tab/>
    </w:r>
    <w:r>
      <w:rPr>
        <w:sz w:val="16"/>
        <w:szCs w:val="16"/>
      </w:rPr>
      <w:t xml:space="preserve">    </w:t>
    </w:r>
    <w:r w:rsidRPr="00DA710F">
      <w:rPr>
        <w:sz w:val="16"/>
        <w:szCs w:val="16"/>
      </w:rPr>
      <w:tab/>
      <w:t xml:space="preserve">             </w:t>
    </w:r>
    <w:r>
      <w:rPr>
        <w:sz w:val="16"/>
        <w:szCs w:val="16"/>
      </w:rPr>
      <w:t xml:space="preserve">          </w:t>
    </w:r>
    <w:r w:rsidRPr="00DA710F">
      <w:rPr>
        <w:sz w:val="16"/>
        <w:szCs w:val="16"/>
      </w:rPr>
      <w:t xml:space="preserve">ISSN 2503-0477 </w:t>
    </w:r>
    <w:r w:rsidRPr="009A1BBA">
      <w:rPr>
        <w:sz w:val="16"/>
        <w:szCs w:val="16"/>
      </w:rPr>
      <w:t>(Print)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3895854"/>
      <w:docPartObj>
        <w:docPartGallery w:val="Page Numbers (Top of Page)"/>
        <w:docPartUnique/>
      </w:docPartObj>
    </w:sdtPr>
    <w:sdtEndPr>
      <w:rPr>
        <w:b/>
        <w:noProof/>
        <w:sz w:val="16"/>
        <w:szCs w:val="16"/>
      </w:rPr>
    </w:sdtEndPr>
    <w:sdtContent>
      <w:p w14:paraId="095435B5" w14:textId="77777777" w:rsidR="00D97BDA" w:rsidRPr="002C59C6" w:rsidRDefault="00D97BDA" w:rsidP="0059364C">
        <w:pPr>
          <w:pStyle w:val="Hakcipta"/>
          <w:rPr>
            <w:b/>
            <w:sz w:val="16"/>
            <w:szCs w:val="16"/>
          </w:rPr>
        </w:pPr>
        <w:r w:rsidRPr="002C59C6">
          <w:rPr>
            <w:b/>
            <w:sz w:val="16"/>
            <w:szCs w:val="16"/>
          </w:rPr>
          <w:fldChar w:fldCharType="begin"/>
        </w:r>
        <w:r w:rsidRPr="002C59C6">
          <w:rPr>
            <w:b/>
            <w:sz w:val="16"/>
            <w:szCs w:val="16"/>
          </w:rPr>
          <w:instrText xml:space="preserve"> PAGE   \* MERGEFORMAT </w:instrText>
        </w:r>
        <w:r w:rsidRPr="002C59C6">
          <w:rPr>
            <w:b/>
            <w:sz w:val="16"/>
            <w:szCs w:val="16"/>
          </w:rPr>
          <w:fldChar w:fldCharType="separate"/>
        </w:r>
        <w:r>
          <w:rPr>
            <w:b/>
            <w:noProof/>
            <w:sz w:val="16"/>
            <w:szCs w:val="16"/>
          </w:rPr>
          <w:t>3</w:t>
        </w:r>
        <w:r w:rsidRPr="002C59C6">
          <w:rPr>
            <w:b/>
            <w:noProof/>
            <w:sz w:val="16"/>
            <w:szCs w:val="16"/>
          </w:rPr>
          <w:fldChar w:fldCharType="end"/>
        </w:r>
      </w:p>
    </w:sdtContent>
  </w:sdt>
  <w:p w14:paraId="7E9D0D69" w14:textId="77777777" w:rsidR="00D97BDA" w:rsidRPr="009A1BBA" w:rsidRDefault="00D97BDA" w:rsidP="00391853">
    <w:pPr>
      <w:pStyle w:val="Hakcipta"/>
      <w:rPr>
        <w:sz w:val="16"/>
        <w:szCs w:val="16"/>
      </w:rPr>
    </w:pPr>
    <w:r w:rsidRPr="002C59C6">
      <w:rPr>
        <w:sz w:val="16"/>
        <w:szCs w:val="16"/>
      </w:rPr>
      <w:t xml:space="preserve">                                                                                                    </w:t>
    </w:r>
    <w:r w:rsidRPr="00DA710F">
      <w:rPr>
        <w:sz w:val="16"/>
        <w:szCs w:val="16"/>
      </w:rPr>
      <w:t>ISSN 2502-3357</w:t>
    </w:r>
    <w:r w:rsidRPr="009A1BBA">
      <w:rPr>
        <w:sz w:val="16"/>
        <w:szCs w:val="16"/>
      </w:rPr>
      <w:t xml:space="preserve"> (Online) </w:t>
    </w:r>
  </w:p>
  <w:p w14:paraId="6A186FDE" w14:textId="17AC7CDC" w:rsidR="00D97BDA" w:rsidRPr="0097147F" w:rsidRDefault="00D97BDA" w:rsidP="00277BC3">
    <w:pPr>
      <w:pStyle w:val="Hakcipta"/>
      <w:pBdr>
        <w:bottom w:val="single" w:sz="4" w:space="1" w:color="auto"/>
      </w:pBdr>
    </w:pPr>
    <w:r>
      <w:rPr>
        <w:color w:val="0070C0"/>
        <w:sz w:val="16"/>
        <w:szCs w:val="16"/>
      </w:rPr>
      <w:t xml:space="preserve">F. </w:t>
    </w:r>
    <w:proofErr w:type="spellStart"/>
    <w:r>
      <w:rPr>
        <w:color w:val="0070C0"/>
        <w:sz w:val="16"/>
        <w:szCs w:val="16"/>
      </w:rPr>
      <w:t>Fulan</w:t>
    </w:r>
    <w:proofErr w:type="spellEnd"/>
    <w:r>
      <w:rPr>
        <w:color w:val="0070C0"/>
        <w:sz w:val="16"/>
        <w:szCs w:val="16"/>
      </w:rPr>
      <w:t xml:space="preserve">, </w:t>
    </w:r>
    <w:r w:rsidRPr="00D41E52">
      <w:rPr>
        <w:color w:val="0070C0"/>
        <w:sz w:val="16"/>
        <w:szCs w:val="16"/>
      </w:rPr>
      <w:t>et. al.</w:t>
    </w:r>
    <w:r w:rsidRPr="00DA14CF">
      <w:rPr>
        <w:color w:val="0070C0"/>
        <w:sz w:val="16"/>
        <w:szCs w:val="16"/>
      </w:rPr>
      <w:t xml:space="preserve">/Register </w:t>
    </w:r>
    <w:r>
      <w:rPr>
        <w:color w:val="0070C0"/>
        <w:sz w:val="16"/>
        <w:szCs w:val="16"/>
      </w:rPr>
      <w:t>7</w:t>
    </w:r>
    <w:r w:rsidRPr="00DA14CF">
      <w:rPr>
        <w:color w:val="0070C0"/>
        <w:sz w:val="16"/>
        <w:szCs w:val="16"/>
      </w:rPr>
      <w:t xml:space="preserve"> (</w:t>
    </w:r>
    <w:r>
      <w:rPr>
        <w:color w:val="0070C0"/>
        <w:sz w:val="16"/>
        <w:szCs w:val="16"/>
      </w:rPr>
      <w:t>1</w:t>
    </w:r>
    <w:r w:rsidRPr="00DA14CF">
      <w:rPr>
        <w:color w:val="0070C0"/>
        <w:sz w:val="16"/>
        <w:szCs w:val="16"/>
      </w:rPr>
      <w:t xml:space="preserve">) </w:t>
    </w:r>
    <w:r>
      <w:rPr>
        <w:color w:val="0070C0"/>
        <w:sz w:val="16"/>
        <w:szCs w:val="16"/>
      </w:rPr>
      <w:t>January 2021 pp. 1-5</w:t>
    </w:r>
    <w:r>
      <w:rPr>
        <w:color w:val="0070C0"/>
        <w:sz w:val="16"/>
        <w:szCs w:val="16"/>
      </w:rPr>
      <w:tab/>
    </w:r>
    <w:r>
      <w:rPr>
        <w:color w:val="0070C0"/>
        <w:sz w:val="16"/>
        <w:szCs w:val="16"/>
      </w:rPr>
      <w:tab/>
    </w:r>
    <w:r w:rsidRPr="00DA14CF">
      <w:rPr>
        <w:sz w:val="16"/>
        <w:szCs w:val="16"/>
      </w:rPr>
      <w:t xml:space="preserve"> </w:t>
    </w:r>
    <w:r w:rsidRPr="00DA710F">
      <w:rPr>
        <w:sz w:val="16"/>
        <w:szCs w:val="16"/>
      </w:rPr>
      <w:t xml:space="preserve">     </w:t>
    </w:r>
    <w:r w:rsidRPr="00DA710F">
      <w:rPr>
        <w:sz w:val="16"/>
        <w:szCs w:val="16"/>
      </w:rPr>
      <w:tab/>
    </w:r>
    <w:r w:rsidRPr="00DA710F">
      <w:rPr>
        <w:sz w:val="16"/>
        <w:szCs w:val="16"/>
      </w:rPr>
      <w:tab/>
    </w:r>
    <w:r>
      <w:rPr>
        <w:sz w:val="16"/>
        <w:szCs w:val="16"/>
      </w:rPr>
      <w:t xml:space="preserve">    </w:t>
    </w:r>
    <w:r w:rsidRPr="00DA710F">
      <w:rPr>
        <w:sz w:val="16"/>
        <w:szCs w:val="16"/>
      </w:rPr>
      <w:tab/>
      <w:t xml:space="preserve">             </w:t>
    </w:r>
    <w:r>
      <w:rPr>
        <w:sz w:val="16"/>
        <w:szCs w:val="16"/>
      </w:rPr>
      <w:t xml:space="preserve">          </w:t>
    </w:r>
    <w:r w:rsidRPr="00DA710F">
      <w:rPr>
        <w:sz w:val="16"/>
        <w:szCs w:val="16"/>
      </w:rPr>
      <w:t>ISSN 2503-0477</w:t>
    </w:r>
    <w:r w:rsidRPr="009A1BBA">
      <w:rPr>
        <w:sz w:val="16"/>
        <w:szCs w:val="16"/>
      </w:rPr>
      <w:t xml:space="preserve"> (Print)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60731" w14:textId="77777777" w:rsidR="00D97BDA" w:rsidRPr="009A1BBA" w:rsidRDefault="00D97BDA" w:rsidP="00BC5D23">
    <w:pPr>
      <w:pStyle w:val="Header"/>
      <w:ind w:firstLine="2160"/>
      <w:jc w:val="center"/>
      <w:rPr>
        <w:rFonts w:ascii="Arial Nova Light" w:hAnsi="Arial Nova Light" w:cstheme="minorHAnsi"/>
        <w:color w:val="000000"/>
        <w:sz w:val="16"/>
        <w:szCs w:val="16"/>
        <w:shd w:val="clear" w:color="auto" w:fill="FFFFFF"/>
      </w:rPr>
    </w:pPr>
    <w:r w:rsidRPr="009A1BBA">
      <w:rPr>
        <w:rFonts w:ascii="Arial Nova Light" w:eastAsia="Arial Unicode MS" w:hAnsi="Arial Nova Light" w:cs="Arial Unicode MS"/>
        <w:noProof/>
        <w:color w:val="4472C4" w:themeColor="accent5"/>
        <w:sz w:val="19"/>
        <w:szCs w:val="19"/>
      </w:rPr>
      <w:drawing>
        <wp:anchor distT="0" distB="0" distL="114300" distR="114300" simplePos="0" relativeHeight="251659264" behindDoc="0" locked="0" layoutInCell="1" allowOverlap="1" wp14:anchorId="2EE270AB" wp14:editId="400917AE">
          <wp:simplePos x="0" y="0"/>
          <wp:positionH relativeFrom="margin">
            <wp:posOffset>28575</wp:posOffset>
          </wp:positionH>
          <wp:positionV relativeFrom="topMargin">
            <wp:posOffset>424180</wp:posOffset>
          </wp:positionV>
          <wp:extent cx="1213200" cy="288000"/>
          <wp:effectExtent l="0" t="0" r="635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Register.png"/>
                  <pic:cNvPicPr/>
                </pic:nvPicPr>
                <pic:blipFill rotWithShape="1">
                  <a:blip r:embed="rId1" cstate="print">
                    <a:extLst>
                      <a:ext uri="{28A0092B-C50C-407E-A947-70E740481C1C}">
                        <a14:useLocalDpi xmlns:a14="http://schemas.microsoft.com/office/drawing/2010/main" val="0"/>
                      </a:ext>
                    </a:extLst>
                  </a:blip>
                  <a:srcRect l="24307" t="27845" r="24004" b="59826"/>
                  <a:stretch/>
                </pic:blipFill>
                <pic:spPr bwMode="auto">
                  <a:xfrm>
                    <a:off x="0" y="0"/>
                    <a:ext cx="1213200" cy="28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A1BBA">
      <w:rPr>
        <w:rFonts w:ascii="Arial Nova Light" w:eastAsia="Arial Unicode MS" w:hAnsi="Arial Nova Light" w:cs="Arial Unicode MS"/>
        <w:color w:val="4472C4" w:themeColor="accent5"/>
        <w:sz w:val="19"/>
        <w:szCs w:val="19"/>
        <w:lang w:val="en-ID"/>
      </w:rPr>
      <w:t xml:space="preserve">                                                                                       </w:t>
    </w:r>
    <w:r w:rsidRPr="009A1BBA">
      <w:rPr>
        <w:rFonts w:ascii="Arial Nova Light" w:eastAsia="Arial Unicode MS" w:hAnsi="Arial Nova Light" w:cs="Arial Unicode MS"/>
        <w:color w:val="4472C4" w:themeColor="accent5"/>
        <w:sz w:val="14"/>
        <w:szCs w:val="14"/>
        <w:lang w:val="en-ID"/>
      </w:rPr>
      <w:t xml:space="preserve">              </w:t>
    </w:r>
    <w:r w:rsidRPr="009A1BBA">
      <w:rPr>
        <w:rFonts w:ascii="Arial Nova Light" w:eastAsia="Arial Unicode MS" w:hAnsi="Arial Nova Light" w:cs="Arial Unicode MS"/>
        <w:color w:val="4472C4" w:themeColor="accent5"/>
        <w:sz w:val="14"/>
        <w:szCs w:val="14"/>
        <w:lang w:val="en-ID"/>
      </w:rPr>
      <w:tab/>
    </w:r>
    <w:r w:rsidRPr="009A1BBA">
      <w:rPr>
        <w:rFonts w:ascii="Arial Nova Light" w:hAnsi="Arial Nova Light" w:cstheme="minorHAnsi"/>
        <w:sz w:val="16"/>
        <w:szCs w:val="16"/>
      </w:rPr>
      <w:t>ISSN</w:t>
    </w:r>
    <w:r w:rsidRPr="009A1BBA">
      <w:rPr>
        <w:rFonts w:ascii="Arial Nova Light" w:hAnsi="Arial Nova Light" w:cstheme="minorHAnsi"/>
        <w:color w:val="000000"/>
        <w:sz w:val="16"/>
        <w:szCs w:val="16"/>
        <w:shd w:val="clear" w:color="auto" w:fill="FFFFFF"/>
        <w:lang w:val="id-ID"/>
      </w:rPr>
      <w:t xml:space="preserve"> </w:t>
    </w:r>
    <w:r w:rsidRPr="009A1BBA">
      <w:rPr>
        <w:rFonts w:ascii="Arial Nova Light" w:hAnsi="Arial Nova Light" w:cstheme="minorHAnsi"/>
        <w:color w:val="000000"/>
        <w:sz w:val="16"/>
        <w:szCs w:val="16"/>
        <w:shd w:val="clear" w:color="auto" w:fill="FFFFFF"/>
      </w:rPr>
      <w:t xml:space="preserve">2502-3357 (Online) </w:t>
    </w:r>
  </w:p>
  <w:p w14:paraId="403ECF72" w14:textId="76B6A7B5" w:rsidR="00D97BDA" w:rsidRPr="009A1BBA" w:rsidRDefault="00D97BDA" w:rsidP="00F81FA7">
    <w:pPr>
      <w:pStyle w:val="Header"/>
      <w:pBdr>
        <w:bottom w:val="single" w:sz="4" w:space="1" w:color="auto"/>
      </w:pBdr>
      <w:rPr>
        <w:rFonts w:ascii="Arial Nova Light" w:hAnsi="Arial Nova Light"/>
        <w:color w:val="000000"/>
        <w:sz w:val="16"/>
        <w:szCs w:val="16"/>
        <w:shd w:val="clear" w:color="auto" w:fill="FFFFFF"/>
      </w:rPr>
    </w:pPr>
    <w:r>
      <w:rPr>
        <w:rFonts w:ascii="Arial Nova Light" w:eastAsia="Arial Unicode MS" w:hAnsi="Arial Nova Light" w:cs="Arial Unicode MS"/>
        <w:b/>
        <w:color w:val="4472C4" w:themeColor="accent5"/>
        <w:sz w:val="16"/>
        <w:szCs w:val="16"/>
      </w:rPr>
      <w:t xml:space="preserve">                                               </w:t>
    </w:r>
    <w:r>
      <w:rPr>
        <w:rFonts w:ascii="Arial Nova Light" w:eastAsia="Arial Unicode MS" w:hAnsi="Arial Nova Light" w:cs="Arial Unicode MS"/>
        <w:b/>
        <w:color w:val="4472C4" w:themeColor="accent5"/>
        <w:sz w:val="16"/>
        <w:szCs w:val="16"/>
        <w:lang w:val="en-ID"/>
      </w:rPr>
      <w:t xml:space="preserve"> 7 (1) January 2021 pp. 1</w:t>
    </w:r>
    <w:r w:rsidRPr="00EA027A">
      <w:rPr>
        <w:rFonts w:ascii="Arial Nova Light" w:eastAsia="Arial Unicode MS" w:hAnsi="Arial Nova Light" w:cs="Arial Unicode MS"/>
        <w:b/>
        <w:color w:val="4472C4" w:themeColor="accent5"/>
        <w:sz w:val="16"/>
        <w:szCs w:val="16"/>
        <w:lang w:val="en-ID"/>
      </w:rPr>
      <w:t>-</w:t>
    </w:r>
    <w:r>
      <w:rPr>
        <w:rFonts w:ascii="Arial Nova Light" w:eastAsia="Arial Unicode MS" w:hAnsi="Arial Nova Light" w:cs="Arial Unicode MS"/>
        <w:b/>
        <w:color w:val="4472C4" w:themeColor="accent5"/>
        <w:sz w:val="16"/>
        <w:szCs w:val="16"/>
        <w:lang w:val="en-ID"/>
      </w:rPr>
      <w:t>5</w:t>
    </w:r>
    <w:r w:rsidRPr="00A40CAD">
      <w:rPr>
        <w:rFonts w:ascii="Arial Nova Light" w:eastAsia="Arial Unicode MS" w:hAnsi="Arial Nova Light" w:cs="Arial Unicode MS"/>
        <w:color w:val="4472C4" w:themeColor="accent5"/>
        <w:sz w:val="16"/>
        <w:szCs w:val="16"/>
        <w:lang w:val="en-ID"/>
      </w:rPr>
      <w:t xml:space="preserve"> </w:t>
    </w:r>
    <w:r>
      <w:rPr>
        <w:rFonts w:ascii="Arial Nova Light" w:eastAsia="Arial Unicode MS" w:hAnsi="Arial Nova Light" w:cs="Arial Unicode MS"/>
        <w:color w:val="4472C4" w:themeColor="accent5"/>
        <w:sz w:val="16"/>
        <w:szCs w:val="16"/>
        <w:lang w:val="en-ID"/>
      </w:rPr>
      <w:tab/>
    </w:r>
    <w:r>
      <w:rPr>
        <w:rFonts w:ascii="Arial Nova Light" w:eastAsia="Arial Unicode MS" w:hAnsi="Arial Nova Light" w:cs="Arial Unicode MS"/>
        <w:color w:val="4472C4" w:themeColor="accent5"/>
        <w:sz w:val="16"/>
        <w:szCs w:val="16"/>
        <w:lang w:val="en-ID"/>
      </w:rPr>
      <w:tab/>
    </w:r>
    <w:r w:rsidRPr="00A40CAD">
      <w:rPr>
        <w:rFonts w:ascii="Arial Nova Light" w:hAnsi="Arial Nova Light"/>
        <w:sz w:val="16"/>
        <w:szCs w:val="16"/>
      </w:rPr>
      <w:t>ISSN</w:t>
    </w:r>
    <w:r w:rsidRPr="00A40CAD">
      <w:rPr>
        <w:rFonts w:ascii="Arial Nova Light" w:hAnsi="Arial Nova Light"/>
        <w:color w:val="000000"/>
        <w:sz w:val="16"/>
        <w:szCs w:val="16"/>
        <w:shd w:val="clear" w:color="auto" w:fill="FFFFFF"/>
        <w:lang w:val="id-ID"/>
      </w:rPr>
      <w:t xml:space="preserve"> </w:t>
    </w:r>
    <w:r w:rsidRPr="00A40CAD">
      <w:rPr>
        <w:rFonts w:ascii="Arial Nova Light" w:hAnsi="Arial Nova Light"/>
        <w:color w:val="000000"/>
        <w:sz w:val="16"/>
        <w:szCs w:val="16"/>
        <w:shd w:val="clear" w:color="auto" w:fill="FFFFFF"/>
      </w:rPr>
      <w:t>2503-047</w:t>
    </w:r>
    <w:r w:rsidRPr="009A1BBA">
      <w:rPr>
        <w:rFonts w:ascii="Arial Nova Light" w:hAnsi="Arial Nova Light"/>
        <w:color w:val="000000"/>
        <w:sz w:val="16"/>
        <w:szCs w:val="16"/>
        <w:shd w:val="clear" w:color="auto" w:fill="FFFFFF"/>
      </w:rPr>
      <w:t>7 (Print)</w:t>
    </w:r>
  </w:p>
  <w:p w14:paraId="44A930F0" w14:textId="77777777" w:rsidR="00D97BDA" w:rsidRPr="00F81FA7" w:rsidRDefault="00D97BDA" w:rsidP="00F81FA7">
    <w:pPr>
      <w:pStyle w:val="Header"/>
      <w:pBdr>
        <w:bottom w:val="single" w:sz="4" w:space="1" w:color="auto"/>
      </w:pBdr>
      <w:rPr>
        <w:rFonts w:ascii="Arial Nova Light" w:eastAsia="Arial Unicode MS" w:hAnsi="Arial Nova Light" w:cs="Arial Unicode MS"/>
        <w:b/>
        <w:color w:val="4472C4" w:themeColor="accent5"/>
        <w:sz w:val="16"/>
        <w:szCs w:val="16"/>
      </w:rPr>
    </w:pPr>
    <w:proofErr w:type="spellStart"/>
    <w:r w:rsidRPr="00130DA6">
      <w:rPr>
        <w:rFonts w:ascii="Arial Nova Light" w:eastAsia="Arial Unicode MS" w:hAnsi="Arial Nova Light" w:cs="Arial Unicode MS"/>
        <w:b/>
        <w:i/>
        <w:iCs/>
        <w:color w:val="4472C4" w:themeColor="accent5"/>
        <w:sz w:val="16"/>
        <w:szCs w:val="16"/>
        <w:lang w:val="en-ID"/>
      </w:rPr>
      <w:t>Jurnal</w:t>
    </w:r>
    <w:proofErr w:type="spellEnd"/>
    <w:r w:rsidRPr="00130DA6">
      <w:rPr>
        <w:rFonts w:ascii="Arial Nova Light" w:eastAsia="Arial Unicode MS" w:hAnsi="Arial Nova Light" w:cs="Arial Unicode MS"/>
        <w:b/>
        <w:i/>
        <w:iCs/>
        <w:color w:val="4472C4" w:themeColor="accent5"/>
        <w:sz w:val="16"/>
        <w:szCs w:val="16"/>
        <w:lang w:val="en-ID"/>
      </w:rPr>
      <w:t xml:space="preserve"> </w:t>
    </w:r>
    <w:proofErr w:type="spellStart"/>
    <w:r w:rsidRPr="00130DA6">
      <w:rPr>
        <w:rFonts w:ascii="Arial Nova Light" w:eastAsia="Arial Unicode MS" w:hAnsi="Arial Nova Light" w:cs="Arial Unicode MS"/>
        <w:b/>
        <w:i/>
        <w:iCs/>
        <w:color w:val="4472C4" w:themeColor="accent5"/>
        <w:sz w:val="16"/>
        <w:szCs w:val="16"/>
        <w:lang w:val="en-ID"/>
      </w:rPr>
      <w:t>Ilmiah</w:t>
    </w:r>
    <w:proofErr w:type="spellEnd"/>
    <w:r w:rsidRPr="00130DA6">
      <w:rPr>
        <w:rFonts w:ascii="Arial Nova Light" w:eastAsia="Arial Unicode MS" w:hAnsi="Arial Nova Light" w:cs="Arial Unicode MS"/>
        <w:b/>
        <w:i/>
        <w:iCs/>
        <w:color w:val="4472C4" w:themeColor="accent5"/>
        <w:sz w:val="16"/>
        <w:szCs w:val="16"/>
        <w:lang w:val="en-ID"/>
      </w:rPr>
      <w:t xml:space="preserve"> </w:t>
    </w:r>
    <w:proofErr w:type="spellStart"/>
    <w:r w:rsidRPr="00130DA6">
      <w:rPr>
        <w:rFonts w:ascii="Arial Nova Light" w:eastAsia="Arial Unicode MS" w:hAnsi="Arial Nova Light" w:cs="Arial Unicode MS"/>
        <w:b/>
        <w:i/>
        <w:iCs/>
        <w:color w:val="4472C4" w:themeColor="accent5"/>
        <w:sz w:val="16"/>
        <w:szCs w:val="16"/>
        <w:lang w:val="en-ID"/>
      </w:rPr>
      <w:t>Teknologi</w:t>
    </w:r>
    <w:proofErr w:type="spellEnd"/>
    <w:r w:rsidRPr="00130DA6">
      <w:rPr>
        <w:rFonts w:ascii="Arial Nova Light" w:eastAsia="Arial Unicode MS" w:hAnsi="Arial Nova Light" w:cs="Arial Unicode MS"/>
        <w:b/>
        <w:i/>
        <w:iCs/>
        <w:color w:val="4472C4" w:themeColor="accent5"/>
        <w:sz w:val="16"/>
        <w:szCs w:val="16"/>
        <w:lang w:val="en-ID"/>
      </w:rPr>
      <w:t xml:space="preserve"> </w:t>
    </w:r>
    <w:proofErr w:type="spellStart"/>
    <w:r w:rsidRPr="00130DA6">
      <w:rPr>
        <w:rFonts w:ascii="Arial Nova Light" w:eastAsia="Arial Unicode MS" w:hAnsi="Arial Nova Light" w:cs="Arial Unicode MS"/>
        <w:b/>
        <w:i/>
        <w:iCs/>
        <w:color w:val="4472C4" w:themeColor="accent5"/>
        <w:sz w:val="16"/>
        <w:szCs w:val="16"/>
        <w:lang w:val="en-ID"/>
      </w:rPr>
      <w:t>Sistem</w:t>
    </w:r>
    <w:proofErr w:type="spellEnd"/>
    <w:r w:rsidRPr="00130DA6">
      <w:rPr>
        <w:rFonts w:ascii="Arial Nova Light" w:eastAsia="Arial Unicode MS" w:hAnsi="Arial Nova Light" w:cs="Arial Unicode MS"/>
        <w:b/>
        <w:i/>
        <w:iCs/>
        <w:color w:val="4472C4" w:themeColor="accent5"/>
        <w:sz w:val="16"/>
        <w:szCs w:val="16"/>
        <w:lang w:val="en-ID"/>
      </w:rPr>
      <w:t xml:space="preserve"> </w:t>
    </w:r>
    <w:proofErr w:type="spellStart"/>
    <w:r w:rsidRPr="00130DA6">
      <w:rPr>
        <w:rFonts w:ascii="Arial Nova Light" w:eastAsia="Arial Unicode MS" w:hAnsi="Arial Nova Light" w:cs="Arial Unicode MS"/>
        <w:b/>
        <w:i/>
        <w:iCs/>
        <w:color w:val="4472C4" w:themeColor="accent5"/>
        <w:sz w:val="16"/>
        <w:szCs w:val="16"/>
        <w:lang w:val="en-ID"/>
      </w:rPr>
      <w:t>Informasi</w:t>
    </w:r>
    <w:proofErr w:type="spellEnd"/>
    <w:r w:rsidRPr="00F81FA7">
      <w:rPr>
        <w:rFonts w:ascii="Arial Nova Light" w:eastAsia="Arial Unicode MS" w:hAnsi="Arial Nova Light" w:cs="Arial Unicode MS"/>
        <w:b/>
        <w:color w:val="4472C4" w:themeColor="accent5"/>
        <w:sz w:val="16"/>
        <w:szCs w:val="16"/>
        <w:lang w:val="en-ID"/>
      </w:rPr>
      <w:t xml:space="preserve"> (Scientific Journal of Information System Technology)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7419A6"/>
    <w:multiLevelType w:val="hybridMultilevel"/>
    <w:tmpl w:val="64D47D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C80EE9"/>
    <w:multiLevelType w:val="hybridMultilevel"/>
    <w:tmpl w:val="869C9BC4"/>
    <w:lvl w:ilvl="0" w:tplc="3C2CB15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024EAD"/>
    <w:multiLevelType w:val="hybridMultilevel"/>
    <w:tmpl w:val="9614E1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2A65A7"/>
    <w:multiLevelType w:val="hybridMultilevel"/>
    <w:tmpl w:val="9614E1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F7314D"/>
    <w:multiLevelType w:val="hybridMultilevel"/>
    <w:tmpl w:val="3BA0DD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B86193"/>
    <w:multiLevelType w:val="hybridMultilevel"/>
    <w:tmpl w:val="25BAB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B858F8"/>
    <w:multiLevelType w:val="hybridMultilevel"/>
    <w:tmpl w:val="9614E1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0C3ED7"/>
    <w:multiLevelType w:val="hybridMultilevel"/>
    <w:tmpl w:val="178E1F94"/>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8E26BF"/>
    <w:multiLevelType w:val="hybridMultilevel"/>
    <w:tmpl w:val="5234EF48"/>
    <w:lvl w:ilvl="0" w:tplc="EC4834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DF6AA7"/>
    <w:multiLevelType w:val="hybridMultilevel"/>
    <w:tmpl w:val="8C8A1600"/>
    <w:lvl w:ilvl="0" w:tplc="575AA1AA">
      <w:start w:val="1"/>
      <w:numFmt w:val="lowerLetter"/>
      <w:lvlText w:val="%1."/>
      <w:lvlJc w:val="left"/>
      <w:pPr>
        <w:ind w:left="922" w:hanging="360"/>
      </w:pPr>
      <w:rPr>
        <w:rFonts w:hint="default"/>
        <w:i w:val="0"/>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0" w15:restartNumberingAfterBreak="0">
    <w:nsid w:val="2F436BAC"/>
    <w:multiLevelType w:val="hybridMultilevel"/>
    <w:tmpl w:val="0854F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672624"/>
    <w:multiLevelType w:val="multilevel"/>
    <w:tmpl w:val="45985A5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39FA7B3A"/>
    <w:multiLevelType w:val="hybridMultilevel"/>
    <w:tmpl w:val="856266D8"/>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3ABE4B93"/>
    <w:multiLevelType w:val="hybridMultilevel"/>
    <w:tmpl w:val="065C5F58"/>
    <w:lvl w:ilvl="0" w:tplc="B790AA98">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4" w15:restartNumberingAfterBreak="0">
    <w:nsid w:val="433175B0"/>
    <w:multiLevelType w:val="hybridMultilevel"/>
    <w:tmpl w:val="0E3A01BE"/>
    <w:lvl w:ilvl="0" w:tplc="3166A602">
      <w:start w:val="1"/>
      <w:numFmt w:val="lowerLetter"/>
      <w:lvlText w:val="%1."/>
      <w:lvlJc w:val="left"/>
      <w:pPr>
        <w:ind w:left="562" w:hanging="360"/>
      </w:pPr>
      <w:rPr>
        <w:rFonts w:hint="default"/>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15" w15:restartNumberingAfterBreak="0">
    <w:nsid w:val="44B223C2"/>
    <w:multiLevelType w:val="hybridMultilevel"/>
    <w:tmpl w:val="0F9AF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44456D"/>
    <w:multiLevelType w:val="hybridMultilevel"/>
    <w:tmpl w:val="3BA0DD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A3202A"/>
    <w:multiLevelType w:val="hybridMultilevel"/>
    <w:tmpl w:val="A6C68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B337FB"/>
    <w:multiLevelType w:val="hybridMultilevel"/>
    <w:tmpl w:val="959C1B42"/>
    <w:lvl w:ilvl="0" w:tplc="B4DA900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32545C"/>
    <w:multiLevelType w:val="hybridMultilevel"/>
    <w:tmpl w:val="1234D3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486F98"/>
    <w:multiLevelType w:val="hybridMultilevel"/>
    <w:tmpl w:val="9D3468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CC7E94"/>
    <w:multiLevelType w:val="multilevel"/>
    <w:tmpl w:val="C220B610"/>
    <w:lvl w:ilvl="0">
      <w:start w:val="1"/>
      <w:numFmt w:val="decimal"/>
      <w:pStyle w:val="SubJudul"/>
      <w:lvlText w:val="%1."/>
      <w:lvlJc w:val="left"/>
      <w:pPr>
        <w:ind w:left="720" w:hanging="360"/>
      </w:pPr>
      <w:rPr>
        <w:rFonts w:hint="default"/>
      </w:rPr>
    </w:lvl>
    <w:lvl w:ilvl="1">
      <w:start w:val="1"/>
      <w:numFmt w:val="decimal"/>
      <w:pStyle w:val="Subsubjudul"/>
      <w:isLgl/>
      <w:lvlText w:val="%1.%2."/>
      <w:lvlJc w:val="left"/>
      <w:pPr>
        <w:ind w:left="3763"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
  </w:num>
  <w:num w:numId="2">
    <w:abstractNumId w:val="10"/>
  </w:num>
  <w:num w:numId="3">
    <w:abstractNumId w:val="21"/>
  </w:num>
  <w:num w:numId="4">
    <w:abstractNumId w:val="11"/>
  </w:num>
  <w:num w:numId="5">
    <w:abstractNumId w:val="13"/>
  </w:num>
  <w:num w:numId="6">
    <w:abstractNumId w:val="7"/>
  </w:num>
  <w:num w:numId="7">
    <w:abstractNumId w:val="5"/>
  </w:num>
  <w:num w:numId="8">
    <w:abstractNumId w:val="8"/>
  </w:num>
  <w:num w:numId="9">
    <w:abstractNumId w:val="15"/>
  </w:num>
  <w:num w:numId="10">
    <w:abstractNumId w:val="17"/>
  </w:num>
  <w:num w:numId="11">
    <w:abstractNumId w:val="20"/>
  </w:num>
  <w:num w:numId="12">
    <w:abstractNumId w:val="9"/>
  </w:num>
  <w:num w:numId="13">
    <w:abstractNumId w:val="14"/>
  </w:num>
  <w:num w:numId="14">
    <w:abstractNumId w:val="0"/>
  </w:num>
  <w:num w:numId="15">
    <w:abstractNumId w:val="19"/>
  </w:num>
  <w:num w:numId="16">
    <w:abstractNumId w:val="18"/>
  </w:num>
  <w:num w:numId="17">
    <w:abstractNumId w:val="16"/>
  </w:num>
  <w:num w:numId="18">
    <w:abstractNumId w:val="12"/>
  </w:num>
  <w:num w:numId="19">
    <w:abstractNumId w:val="4"/>
  </w:num>
  <w:num w:numId="20">
    <w:abstractNumId w:val="2"/>
  </w:num>
  <w:num w:numId="21">
    <w:abstractNumId w:val="3"/>
  </w:num>
  <w:num w:numId="22">
    <w:abstractNumId w:val="21"/>
  </w:num>
  <w:num w:numId="23">
    <w:abstractNumId w:val="21"/>
  </w:num>
  <w:num w:numId="24">
    <w:abstractNumId w:val="21"/>
  </w:num>
  <w:num w:numId="25">
    <w:abstractNumId w:val="6"/>
  </w:num>
  <w:num w:numId="26">
    <w:abstractNumId w:val="21"/>
  </w:num>
  <w:num w:numId="27">
    <w:abstractNumId w:val="21"/>
  </w:num>
  <w:num w:numId="28">
    <w:abstractNumId w:val="21"/>
  </w:num>
  <w:num w:numId="29">
    <w:abstractNumId w:val="21"/>
  </w:num>
  <w:num w:numId="30">
    <w:abstractNumId w:val="21"/>
  </w:num>
  <w:num w:numId="31">
    <w:abstractNumId w:val="21"/>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defaultTabStop w:val="720"/>
  <w:evenAndOddHeaders/>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e3sDA2NjYzMzGwNLNQ0lEKTi0uzszPAykwrwUAMfNezSwAAAA="/>
  </w:docVars>
  <w:rsids>
    <w:rsidRoot w:val="008A628A"/>
    <w:rsid w:val="0000210E"/>
    <w:rsid w:val="0000246D"/>
    <w:rsid w:val="00004831"/>
    <w:rsid w:val="00005280"/>
    <w:rsid w:val="000054CC"/>
    <w:rsid w:val="0001509E"/>
    <w:rsid w:val="00015633"/>
    <w:rsid w:val="0001685E"/>
    <w:rsid w:val="00020230"/>
    <w:rsid w:val="00022DCB"/>
    <w:rsid w:val="0002349B"/>
    <w:rsid w:val="00023FA1"/>
    <w:rsid w:val="000240E6"/>
    <w:rsid w:val="00030231"/>
    <w:rsid w:val="00031039"/>
    <w:rsid w:val="00044E02"/>
    <w:rsid w:val="00046B10"/>
    <w:rsid w:val="00047ED6"/>
    <w:rsid w:val="000546AC"/>
    <w:rsid w:val="000550A7"/>
    <w:rsid w:val="00057BB2"/>
    <w:rsid w:val="0006005F"/>
    <w:rsid w:val="0006359A"/>
    <w:rsid w:val="00063F91"/>
    <w:rsid w:val="000648EA"/>
    <w:rsid w:val="00066A14"/>
    <w:rsid w:val="00067960"/>
    <w:rsid w:val="000715BC"/>
    <w:rsid w:val="000747B5"/>
    <w:rsid w:val="00074C0C"/>
    <w:rsid w:val="00076B4C"/>
    <w:rsid w:val="00077090"/>
    <w:rsid w:val="00081151"/>
    <w:rsid w:val="000835FD"/>
    <w:rsid w:val="000910A3"/>
    <w:rsid w:val="00092CA1"/>
    <w:rsid w:val="000953A2"/>
    <w:rsid w:val="000A0C40"/>
    <w:rsid w:val="000A5A5A"/>
    <w:rsid w:val="000B1B7C"/>
    <w:rsid w:val="000B397F"/>
    <w:rsid w:val="000C2CA4"/>
    <w:rsid w:val="000C3DE8"/>
    <w:rsid w:val="000C7D27"/>
    <w:rsid w:val="000D1931"/>
    <w:rsid w:val="000D503D"/>
    <w:rsid w:val="000E0ADE"/>
    <w:rsid w:val="000E10BD"/>
    <w:rsid w:val="000E1443"/>
    <w:rsid w:val="000E2BD9"/>
    <w:rsid w:val="000E2D0F"/>
    <w:rsid w:val="000E367B"/>
    <w:rsid w:val="000E744E"/>
    <w:rsid w:val="000F3384"/>
    <w:rsid w:val="000F3FB8"/>
    <w:rsid w:val="000F4047"/>
    <w:rsid w:val="000F47F2"/>
    <w:rsid w:val="000F50A8"/>
    <w:rsid w:val="000F6779"/>
    <w:rsid w:val="000F747C"/>
    <w:rsid w:val="0010065D"/>
    <w:rsid w:val="00100C94"/>
    <w:rsid w:val="001013E0"/>
    <w:rsid w:val="00103309"/>
    <w:rsid w:val="0010445E"/>
    <w:rsid w:val="00105F6F"/>
    <w:rsid w:val="00106F8D"/>
    <w:rsid w:val="0011013E"/>
    <w:rsid w:val="001103D4"/>
    <w:rsid w:val="001110B1"/>
    <w:rsid w:val="001123C4"/>
    <w:rsid w:val="0011369F"/>
    <w:rsid w:val="00123456"/>
    <w:rsid w:val="00124E99"/>
    <w:rsid w:val="00130DA6"/>
    <w:rsid w:val="001326B9"/>
    <w:rsid w:val="001415C1"/>
    <w:rsid w:val="0014167A"/>
    <w:rsid w:val="00141D11"/>
    <w:rsid w:val="00151FD1"/>
    <w:rsid w:val="00153DF1"/>
    <w:rsid w:val="0015481F"/>
    <w:rsid w:val="00164A77"/>
    <w:rsid w:val="001665BA"/>
    <w:rsid w:val="00173DE6"/>
    <w:rsid w:val="0017762E"/>
    <w:rsid w:val="001778B3"/>
    <w:rsid w:val="001807FD"/>
    <w:rsid w:val="00181E04"/>
    <w:rsid w:val="0018348C"/>
    <w:rsid w:val="00187A00"/>
    <w:rsid w:val="00187BC8"/>
    <w:rsid w:val="00187EDA"/>
    <w:rsid w:val="00192BB4"/>
    <w:rsid w:val="001945E6"/>
    <w:rsid w:val="001956C8"/>
    <w:rsid w:val="0019572A"/>
    <w:rsid w:val="00197877"/>
    <w:rsid w:val="001A0B78"/>
    <w:rsid w:val="001B3B45"/>
    <w:rsid w:val="001B7649"/>
    <w:rsid w:val="001B7C16"/>
    <w:rsid w:val="001C2184"/>
    <w:rsid w:val="001D0448"/>
    <w:rsid w:val="001D17DD"/>
    <w:rsid w:val="001D3032"/>
    <w:rsid w:val="001D3BD2"/>
    <w:rsid w:val="001D5072"/>
    <w:rsid w:val="001E067B"/>
    <w:rsid w:val="001E1AF4"/>
    <w:rsid w:val="001E5CAB"/>
    <w:rsid w:val="001E5EB0"/>
    <w:rsid w:val="001F558E"/>
    <w:rsid w:val="00201DF5"/>
    <w:rsid w:val="002049A0"/>
    <w:rsid w:val="0020574F"/>
    <w:rsid w:val="00211703"/>
    <w:rsid w:val="00220A1C"/>
    <w:rsid w:val="00227A76"/>
    <w:rsid w:val="00227EFB"/>
    <w:rsid w:val="00230F87"/>
    <w:rsid w:val="00237E47"/>
    <w:rsid w:val="00241B9D"/>
    <w:rsid w:val="00242596"/>
    <w:rsid w:val="0024350E"/>
    <w:rsid w:val="00245B44"/>
    <w:rsid w:val="002468BE"/>
    <w:rsid w:val="002504E0"/>
    <w:rsid w:val="00253CEF"/>
    <w:rsid w:val="00255FDD"/>
    <w:rsid w:val="00256A04"/>
    <w:rsid w:val="00272201"/>
    <w:rsid w:val="00276E7F"/>
    <w:rsid w:val="00277BC3"/>
    <w:rsid w:val="00280B44"/>
    <w:rsid w:val="002818A3"/>
    <w:rsid w:val="00285194"/>
    <w:rsid w:val="00287A2B"/>
    <w:rsid w:val="00294336"/>
    <w:rsid w:val="002A0165"/>
    <w:rsid w:val="002A27ED"/>
    <w:rsid w:val="002A4848"/>
    <w:rsid w:val="002A5FC5"/>
    <w:rsid w:val="002A60E7"/>
    <w:rsid w:val="002A60F6"/>
    <w:rsid w:val="002B04E8"/>
    <w:rsid w:val="002B55EC"/>
    <w:rsid w:val="002B59FF"/>
    <w:rsid w:val="002C15DA"/>
    <w:rsid w:val="002C5570"/>
    <w:rsid w:val="002C59C6"/>
    <w:rsid w:val="002D40C0"/>
    <w:rsid w:val="002D525C"/>
    <w:rsid w:val="002D6102"/>
    <w:rsid w:val="002E0A4D"/>
    <w:rsid w:val="002E45EF"/>
    <w:rsid w:val="002E5797"/>
    <w:rsid w:val="002E5A9B"/>
    <w:rsid w:val="002E79F4"/>
    <w:rsid w:val="002F300C"/>
    <w:rsid w:val="002F49B0"/>
    <w:rsid w:val="002F55F8"/>
    <w:rsid w:val="002F5EDF"/>
    <w:rsid w:val="002F6B1F"/>
    <w:rsid w:val="002F6D31"/>
    <w:rsid w:val="002F77AF"/>
    <w:rsid w:val="00300516"/>
    <w:rsid w:val="00301EDC"/>
    <w:rsid w:val="00301EE5"/>
    <w:rsid w:val="0030541C"/>
    <w:rsid w:val="00305812"/>
    <w:rsid w:val="00310DED"/>
    <w:rsid w:val="00312173"/>
    <w:rsid w:val="0031699D"/>
    <w:rsid w:val="0032363A"/>
    <w:rsid w:val="0032742A"/>
    <w:rsid w:val="00331A11"/>
    <w:rsid w:val="00333967"/>
    <w:rsid w:val="003406B3"/>
    <w:rsid w:val="00341A06"/>
    <w:rsid w:val="00350971"/>
    <w:rsid w:val="00350C24"/>
    <w:rsid w:val="003510DB"/>
    <w:rsid w:val="003519D6"/>
    <w:rsid w:val="003536E1"/>
    <w:rsid w:val="0035442A"/>
    <w:rsid w:val="00360B6C"/>
    <w:rsid w:val="00362358"/>
    <w:rsid w:val="0036318A"/>
    <w:rsid w:val="003638AB"/>
    <w:rsid w:val="003642F6"/>
    <w:rsid w:val="00365980"/>
    <w:rsid w:val="00371580"/>
    <w:rsid w:val="00372BE9"/>
    <w:rsid w:val="00377429"/>
    <w:rsid w:val="003815A3"/>
    <w:rsid w:val="00383601"/>
    <w:rsid w:val="00387E1F"/>
    <w:rsid w:val="0039158F"/>
    <w:rsid w:val="00391853"/>
    <w:rsid w:val="003952E2"/>
    <w:rsid w:val="003A1518"/>
    <w:rsid w:val="003A49C3"/>
    <w:rsid w:val="003A56F5"/>
    <w:rsid w:val="003A6BDE"/>
    <w:rsid w:val="003C0A4F"/>
    <w:rsid w:val="003C2698"/>
    <w:rsid w:val="003C43A3"/>
    <w:rsid w:val="003D7A5A"/>
    <w:rsid w:val="003E7845"/>
    <w:rsid w:val="003F05D7"/>
    <w:rsid w:val="003F3A95"/>
    <w:rsid w:val="00402AE2"/>
    <w:rsid w:val="00406AF6"/>
    <w:rsid w:val="0041194B"/>
    <w:rsid w:val="00412880"/>
    <w:rsid w:val="0041331C"/>
    <w:rsid w:val="0042044E"/>
    <w:rsid w:val="00420ABD"/>
    <w:rsid w:val="00422900"/>
    <w:rsid w:val="00422D5B"/>
    <w:rsid w:val="00422D77"/>
    <w:rsid w:val="00423059"/>
    <w:rsid w:val="00425348"/>
    <w:rsid w:val="00425DBF"/>
    <w:rsid w:val="00431DDA"/>
    <w:rsid w:val="00435329"/>
    <w:rsid w:val="00442C42"/>
    <w:rsid w:val="004434F6"/>
    <w:rsid w:val="00447202"/>
    <w:rsid w:val="00447B4C"/>
    <w:rsid w:val="00453D33"/>
    <w:rsid w:val="00455B5C"/>
    <w:rsid w:val="00456508"/>
    <w:rsid w:val="00456D02"/>
    <w:rsid w:val="004575E7"/>
    <w:rsid w:val="0046003B"/>
    <w:rsid w:val="00462843"/>
    <w:rsid w:val="0046419A"/>
    <w:rsid w:val="00472C4F"/>
    <w:rsid w:val="00473121"/>
    <w:rsid w:val="0048109E"/>
    <w:rsid w:val="00482FE2"/>
    <w:rsid w:val="0048559A"/>
    <w:rsid w:val="004900DB"/>
    <w:rsid w:val="00490AA5"/>
    <w:rsid w:val="00493C0F"/>
    <w:rsid w:val="0049406D"/>
    <w:rsid w:val="0049521F"/>
    <w:rsid w:val="004975E8"/>
    <w:rsid w:val="004A17D7"/>
    <w:rsid w:val="004A1AD4"/>
    <w:rsid w:val="004A2041"/>
    <w:rsid w:val="004A2758"/>
    <w:rsid w:val="004A71A2"/>
    <w:rsid w:val="004B3673"/>
    <w:rsid w:val="004B7532"/>
    <w:rsid w:val="004C26CD"/>
    <w:rsid w:val="004C2BC3"/>
    <w:rsid w:val="004C3700"/>
    <w:rsid w:val="004C3EC9"/>
    <w:rsid w:val="004C6686"/>
    <w:rsid w:val="004D1650"/>
    <w:rsid w:val="004D6059"/>
    <w:rsid w:val="004D7E88"/>
    <w:rsid w:val="004E0D37"/>
    <w:rsid w:val="004E2E74"/>
    <w:rsid w:val="004E4282"/>
    <w:rsid w:val="004F3A8E"/>
    <w:rsid w:val="004F4206"/>
    <w:rsid w:val="004F5584"/>
    <w:rsid w:val="004F5B0D"/>
    <w:rsid w:val="004F6E45"/>
    <w:rsid w:val="004F7A93"/>
    <w:rsid w:val="00500729"/>
    <w:rsid w:val="00503EBE"/>
    <w:rsid w:val="0050592F"/>
    <w:rsid w:val="005074F5"/>
    <w:rsid w:val="00511404"/>
    <w:rsid w:val="00511A75"/>
    <w:rsid w:val="00522F4A"/>
    <w:rsid w:val="005356B9"/>
    <w:rsid w:val="00536BF3"/>
    <w:rsid w:val="005424FB"/>
    <w:rsid w:val="005473E2"/>
    <w:rsid w:val="00550289"/>
    <w:rsid w:val="005512BB"/>
    <w:rsid w:val="00561889"/>
    <w:rsid w:val="00561A9C"/>
    <w:rsid w:val="005626D5"/>
    <w:rsid w:val="00562716"/>
    <w:rsid w:val="00567B86"/>
    <w:rsid w:val="00572A71"/>
    <w:rsid w:val="00572C1E"/>
    <w:rsid w:val="00575089"/>
    <w:rsid w:val="00575461"/>
    <w:rsid w:val="0057576A"/>
    <w:rsid w:val="0057663B"/>
    <w:rsid w:val="00580123"/>
    <w:rsid w:val="00582A93"/>
    <w:rsid w:val="00587AEC"/>
    <w:rsid w:val="005900A1"/>
    <w:rsid w:val="0059211D"/>
    <w:rsid w:val="0059306A"/>
    <w:rsid w:val="00593273"/>
    <w:rsid w:val="0059364C"/>
    <w:rsid w:val="005A1ABF"/>
    <w:rsid w:val="005A46F8"/>
    <w:rsid w:val="005B290D"/>
    <w:rsid w:val="005B2B53"/>
    <w:rsid w:val="005B38F4"/>
    <w:rsid w:val="005B3FC0"/>
    <w:rsid w:val="005B4B23"/>
    <w:rsid w:val="005B6D6E"/>
    <w:rsid w:val="005C172B"/>
    <w:rsid w:val="005C386E"/>
    <w:rsid w:val="005C7592"/>
    <w:rsid w:val="005D0D56"/>
    <w:rsid w:val="005D1542"/>
    <w:rsid w:val="005D2DB3"/>
    <w:rsid w:val="005D3AB6"/>
    <w:rsid w:val="005E63C5"/>
    <w:rsid w:val="005E742A"/>
    <w:rsid w:val="005F0CC1"/>
    <w:rsid w:val="005F1BAC"/>
    <w:rsid w:val="005F2AB5"/>
    <w:rsid w:val="005F5FFC"/>
    <w:rsid w:val="005F7736"/>
    <w:rsid w:val="00601DF4"/>
    <w:rsid w:val="0060292E"/>
    <w:rsid w:val="00603CAF"/>
    <w:rsid w:val="00605D6C"/>
    <w:rsid w:val="00606245"/>
    <w:rsid w:val="006149A8"/>
    <w:rsid w:val="00614E87"/>
    <w:rsid w:val="0062211C"/>
    <w:rsid w:val="00622569"/>
    <w:rsid w:val="0062438C"/>
    <w:rsid w:val="00625EE8"/>
    <w:rsid w:val="006269AC"/>
    <w:rsid w:val="0062707F"/>
    <w:rsid w:val="006359A6"/>
    <w:rsid w:val="00635AD7"/>
    <w:rsid w:val="006423CD"/>
    <w:rsid w:val="006428DB"/>
    <w:rsid w:val="006428F9"/>
    <w:rsid w:val="00644EA4"/>
    <w:rsid w:val="0064577F"/>
    <w:rsid w:val="00651FBD"/>
    <w:rsid w:val="00656766"/>
    <w:rsid w:val="0066582A"/>
    <w:rsid w:val="006665F5"/>
    <w:rsid w:val="00674786"/>
    <w:rsid w:val="0067589A"/>
    <w:rsid w:val="00676E8C"/>
    <w:rsid w:val="006771A2"/>
    <w:rsid w:val="0068175C"/>
    <w:rsid w:val="00685D3B"/>
    <w:rsid w:val="00690144"/>
    <w:rsid w:val="00691476"/>
    <w:rsid w:val="006961BA"/>
    <w:rsid w:val="006A48FE"/>
    <w:rsid w:val="006A7B62"/>
    <w:rsid w:val="006B0FDB"/>
    <w:rsid w:val="006B2CFF"/>
    <w:rsid w:val="006B6D49"/>
    <w:rsid w:val="006C46C8"/>
    <w:rsid w:val="006C54B0"/>
    <w:rsid w:val="006C7EC6"/>
    <w:rsid w:val="006D0410"/>
    <w:rsid w:val="006D0C5E"/>
    <w:rsid w:val="006D5CAC"/>
    <w:rsid w:val="006E262B"/>
    <w:rsid w:val="006E4D8C"/>
    <w:rsid w:val="006E5F61"/>
    <w:rsid w:val="006E6BAA"/>
    <w:rsid w:val="006E7610"/>
    <w:rsid w:val="006E7ED7"/>
    <w:rsid w:val="006F32A1"/>
    <w:rsid w:val="006F379C"/>
    <w:rsid w:val="006F550C"/>
    <w:rsid w:val="006F5B5B"/>
    <w:rsid w:val="006F6D3B"/>
    <w:rsid w:val="00701A1B"/>
    <w:rsid w:val="0070445D"/>
    <w:rsid w:val="00705D90"/>
    <w:rsid w:val="00711DFC"/>
    <w:rsid w:val="00712194"/>
    <w:rsid w:val="00717C4E"/>
    <w:rsid w:val="00723175"/>
    <w:rsid w:val="0072430F"/>
    <w:rsid w:val="0072542B"/>
    <w:rsid w:val="007255DB"/>
    <w:rsid w:val="00743DF2"/>
    <w:rsid w:val="007446B9"/>
    <w:rsid w:val="007560B0"/>
    <w:rsid w:val="00756EB3"/>
    <w:rsid w:val="00760DDD"/>
    <w:rsid w:val="00764730"/>
    <w:rsid w:val="00764876"/>
    <w:rsid w:val="00767D12"/>
    <w:rsid w:val="007708FA"/>
    <w:rsid w:val="00771838"/>
    <w:rsid w:val="00774AFF"/>
    <w:rsid w:val="007850B1"/>
    <w:rsid w:val="00785F9C"/>
    <w:rsid w:val="00786BAF"/>
    <w:rsid w:val="00786D1A"/>
    <w:rsid w:val="007874FE"/>
    <w:rsid w:val="00794B2E"/>
    <w:rsid w:val="00795252"/>
    <w:rsid w:val="00797F1C"/>
    <w:rsid w:val="007A408A"/>
    <w:rsid w:val="007A4C8D"/>
    <w:rsid w:val="007A5A32"/>
    <w:rsid w:val="007A60D7"/>
    <w:rsid w:val="007A7A7C"/>
    <w:rsid w:val="007B1A4C"/>
    <w:rsid w:val="007B2CFB"/>
    <w:rsid w:val="007B3DF3"/>
    <w:rsid w:val="007C1302"/>
    <w:rsid w:val="007C5C47"/>
    <w:rsid w:val="007D196A"/>
    <w:rsid w:val="007D344A"/>
    <w:rsid w:val="007D4971"/>
    <w:rsid w:val="007E076D"/>
    <w:rsid w:val="007E76D7"/>
    <w:rsid w:val="007E792D"/>
    <w:rsid w:val="007F0ABF"/>
    <w:rsid w:val="007F152F"/>
    <w:rsid w:val="007F17C5"/>
    <w:rsid w:val="007F4206"/>
    <w:rsid w:val="007F7286"/>
    <w:rsid w:val="0080051A"/>
    <w:rsid w:val="00803211"/>
    <w:rsid w:val="0080329B"/>
    <w:rsid w:val="00811AEE"/>
    <w:rsid w:val="00814674"/>
    <w:rsid w:val="0081678E"/>
    <w:rsid w:val="008232E8"/>
    <w:rsid w:val="00824EE8"/>
    <w:rsid w:val="00825799"/>
    <w:rsid w:val="00825B24"/>
    <w:rsid w:val="00827EA8"/>
    <w:rsid w:val="0083105C"/>
    <w:rsid w:val="00832A06"/>
    <w:rsid w:val="00834A7F"/>
    <w:rsid w:val="00837B70"/>
    <w:rsid w:val="00840B22"/>
    <w:rsid w:val="00842FAE"/>
    <w:rsid w:val="00847325"/>
    <w:rsid w:val="00851C71"/>
    <w:rsid w:val="008565AF"/>
    <w:rsid w:val="00856E87"/>
    <w:rsid w:val="00857C26"/>
    <w:rsid w:val="00867A6D"/>
    <w:rsid w:val="00870C9D"/>
    <w:rsid w:val="00871494"/>
    <w:rsid w:val="00880E57"/>
    <w:rsid w:val="008823ED"/>
    <w:rsid w:val="0088408F"/>
    <w:rsid w:val="00885FA5"/>
    <w:rsid w:val="00887E92"/>
    <w:rsid w:val="008919B3"/>
    <w:rsid w:val="0089237B"/>
    <w:rsid w:val="0089669C"/>
    <w:rsid w:val="008A1008"/>
    <w:rsid w:val="008A10CC"/>
    <w:rsid w:val="008A5941"/>
    <w:rsid w:val="008A628A"/>
    <w:rsid w:val="008B0B86"/>
    <w:rsid w:val="008B0CCC"/>
    <w:rsid w:val="008B189E"/>
    <w:rsid w:val="008B29CF"/>
    <w:rsid w:val="008B4889"/>
    <w:rsid w:val="008B68A6"/>
    <w:rsid w:val="008C0773"/>
    <w:rsid w:val="008C0B86"/>
    <w:rsid w:val="008C0FF2"/>
    <w:rsid w:val="008C1948"/>
    <w:rsid w:val="008C350D"/>
    <w:rsid w:val="008C7201"/>
    <w:rsid w:val="008D122E"/>
    <w:rsid w:val="008D4DC7"/>
    <w:rsid w:val="008D5EE7"/>
    <w:rsid w:val="008E2393"/>
    <w:rsid w:val="008E35BC"/>
    <w:rsid w:val="008E4584"/>
    <w:rsid w:val="008E51B4"/>
    <w:rsid w:val="008E625F"/>
    <w:rsid w:val="008F2906"/>
    <w:rsid w:val="008F745F"/>
    <w:rsid w:val="008F7A90"/>
    <w:rsid w:val="00901318"/>
    <w:rsid w:val="00902E3D"/>
    <w:rsid w:val="00904298"/>
    <w:rsid w:val="00906E1D"/>
    <w:rsid w:val="00907AF0"/>
    <w:rsid w:val="00913F78"/>
    <w:rsid w:val="0091441D"/>
    <w:rsid w:val="00914BEE"/>
    <w:rsid w:val="00915CE1"/>
    <w:rsid w:val="009169DA"/>
    <w:rsid w:val="00920A9D"/>
    <w:rsid w:val="00924F91"/>
    <w:rsid w:val="00925ABD"/>
    <w:rsid w:val="00927195"/>
    <w:rsid w:val="009306FE"/>
    <w:rsid w:val="00931E54"/>
    <w:rsid w:val="00936935"/>
    <w:rsid w:val="00936E69"/>
    <w:rsid w:val="00937F92"/>
    <w:rsid w:val="009400EA"/>
    <w:rsid w:val="00941207"/>
    <w:rsid w:val="009420D4"/>
    <w:rsid w:val="009466FC"/>
    <w:rsid w:val="00952BEB"/>
    <w:rsid w:val="009541A8"/>
    <w:rsid w:val="00955205"/>
    <w:rsid w:val="00957415"/>
    <w:rsid w:val="00960605"/>
    <w:rsid w:val="0096132F"/>
    <w:rsid w:val="00963616"/>
    <w:rsid w:val="00967DF5"/>
    <w:rsid w:val="0097147F"/>
    <w:rsid w:val="00977856"/>
    <w:rsid w:val="00980EFE"/>
    <w:rsid w:val="009829B3"/>
    <w:rsid w:val="00985DF3"/>
    <w:rsid w:val="0099386E"/>
    <w:rsid w:val="009939F5"/>
    <w:rsid w:val="00997C51"/>
    <w:rsid w:val="009A0A16"/>
    <w:rsid w:val="009A1501"/>
    <w:rsid w:val="009A1BBA"/>
    <w:rsid w:val="009A203A"/>
    <w:rsid w:val="009A2304"/>
    <w:rsid w:val="009A3C20"/>
    <w:rsid w:val="009A661A"/>
    <w:rsid w:val="009A7AF2"/>
    <w:rsid w:val="009B0E8C"/>
    <w:rsid w:val="009B185D"/>
    <w:rsid w:val="009B3F58"/>
    <w:rsid w:val="009B4133"/>
    <w:rsid w:val="009B4CBF"/>
    <w:rsid w:val="009B70CE"/>
    <w:rsid w:val="009C1C73"/>
    <w:rsid w:val="009C46B6"/>
    <w:rsid w:val="009C794A"/>
    <w:rsid w:val="009D5D9E"/>
    <w:rsid w:val="009D78F4"/>
    <w:rsid w:val="009E1C4C"/>
    <w:rsid w:val="009E473C"/>
    <w:rsid w:val="009F0132"/>
    <w:rsid w:val="009F18F8"/>
    <w:rsid w:val="009F21FE"/>
    <w:rsid w:val="009F53CB"/>
    <w:rsid w:val="009F7AE6"/>
    <w:rsid w:val="00A05C50"/>
    <w:rsid w:val="00A06460"/>
    <w:rsid w:val="00A1064E"/>
    <w:rsid w:val="00A152FD"/>
    <w:rsid w:val="00A2119B"/>
    <w:rsid w:val="00A226BB"/>
    <w:rsid w:val="00A23FC4"/>
    <w:rsid w:val="00A301C4"/>
    <w:rsid w:val="00A302CF"/>
    <w:rsid w:val="00A35DAD"/>
    <w:rsid w:val="00A35EAD"/>
    <w:rsid w:val="00A37C87"/>
    <w:rsid w:val="00A40478"/>
    <w:rsid w:val="00A40CAD"/>
    <w:rsid w:val="00A43ACD"/>
    <w:rsid w:val="00A469EE"/>
    <w:rsid w:val="00A52725"/>
    <w:rsid w:val="00A57B4E"/>
    <w:rsid w:val="00A6136B"/>
    <w:rsid w:val="00A62B79"/>
    <w:rsid w:val="00A70B0A"/>
    <w:rsid w:val="00A74F92"/>
    <w:rsid w:val="00A82040"/>
    <w:rsid w:val="00A86528"/>
    <w:rsid w:val="00A86772"/>
    <w:rsid w:val="00A8692E"/>
    <w:rsid w:val="00A870E3"/>
    <w:rsid w:val="00A87609"/>
    <w:rsid w:val="00A913B2"/>
    <w:rsid w:val="00A921C0"/>
    <w:rsid w:val="00A92C0F"/>
    <w:rsid w:val="00A9727D"/>
    <w:rsid w:val="00A97689"/>
    <w:rsid w:val="00AB0540"/>
    <w:rsid w:val="00AB0A02"/>
    <w:rsid w:val="00AB178D"/>
    <w:rsid w:val="00AB19C8"/>
    <w:rsid w:val="00AB459A"/>
    <w:rsid w:val="00AB7B66"/>
    <w:rsid w:val="00AC002F"/>
    <w:rsid w:val="00AC0084"/>
    <w:rsid w:val="00AC4ACF"/>
    <w:rsid w:val="00AC71D8"/>
    <w:rsid w:val="00AD0D71"/>
    <w:rsid w:val="00AD18E8"/>
    <w:rsid w:val="00AD2129"/>
    <w:rsid w:val="00AD4ED1"/>
    <w:rsid w:val="00AD69FC"/>
    <w:rsid w:val="00AD725F"/>
    <w:rsid w:val="00AE1F95"/>
    <w:rsid w:val="00AE4A0C"/>
    <w:rsid w:val="00AE5215"/>
    <w:rsid w:val="00AF0E3C"/>
    <w:rsid w:val="00AF5E20"/>
    <w:rsid w:val="00B00054"/>
    <w:rsid w:val="00B00C5E"/>
    <w:rsid w:val="00B0399D"/>
    <w:rsid w:val="00B0487A"/>
    <w:rsid w:val="00B04C04"/>
    <w:rsid w:val="00B05AE3"/>
    <w:rsid w:val="00B11047"/>
    <w:rsid w:val="00B11BF3"/>
    <w:rsid w:val="00B13805"/>
    <w:rsid w:val="00B145DE"/>
    <w:rsid w:val="00B211E4"/>
    <w:rsid w:val="00B227A8"/>
    <w:rsid w:val="00B25620"/>
    <w:rsid w:val="00B25874"/>
    <w:rsid w:val="00B33DA7"/>
    <w:rsid w:val="00B36CC5"/>
    <w:rsid w:val="00B375B9"/>
    <w:rsid w:val="00B42CC1"/>
    <w:rsid w:val="00B444EB"/>
    <w:rsid w:val="00B4691B"/>
    <w:rsid w:val="00B50390"/>
    <w:rsid w:val="00B55434"/>
    <w:rsid w:val="00B5690F"/>
    <w:rsid w:val="00B574C9"/>
    <w:rsid w:val="00B60223"/>
    <w:rsid w:val="00B62173"/>
    <w:rsid w:val="00B623A3"/>
    <w:rsid w:val="00B6283D"/>
    <w:rsid w:val="00B62A7A"/>
    <w:rsid w:val="00B63C5D"/>
    <w:rsid w:val="00B6699F"/>
    <w:rsid w:val="00B71C75"/>
    <w:rsid w:val="00B71CF3"/>
    <w:rsid w:val="00B736B1"/>
    <w:rsid w:val="00B75863"/>
    <w:rsid w:val="00B871DF"/>
    <w:rsid w:val="00B90EBB"/>
    <w:rsid w:val="00B90F8F"/>
    <w:rsid w:val="00B92E85"/>
    <w:rsid w:val="00B972A9"/>
    <w:rsid w:val="00B97686"/>
    <w:rsid w:val="00B976BA"/>
    <w:rsid w:val="00B97C9A"/>
    <w:rsid w:val="00BA1874"/>
    <w:rsid w:val="00BA2DD4"/>
    <w:rsid w:val="00BA705C"/>
    <w:rsid w:val="00BB0ADA"/>
    <w:rsid w:val="00BB12B0"/>
    <w:rsid w:val="00BB5201"/>
    <w:rsid w:val="00BB5DE5"/>
    <w:rsid w:val="00BB5E7E"/>
    <w:rsid w:val="00BB6C74"/>
    <w:rsid w:val="00BC409A"/>
    <w:rsid w:val="00BC58B7"/>
    <w:rsid w:val="00BC5D23"/>
    <w:rsid w:val="00BC62FC"/>
    <w:rsid w:val="00BC648A"/>
    <w:rsid w:val="00BD06B7"/>
    <w:rsid w:val="00BD138E"/>
    <w:rsid w:val="00BD29B3"/>
    <w:rsid w:val="00BD4DEB"/>
    <w:rsid w:val="00BD5161"/>
    <w:rsid w:val="00BD5700"/>
    <w:rsid w:val="00BD63DD"/>
    <w:rsid w:val="00BE1AE4"/>
    <w:rsid w:val="00BE4A3C"/>
    <w:rsid w:val="00BE56B3"/>
    <w:rsid w:val="00BE6F22"/>
    <w:rsid w:val="00BF06EA"/>
    <w:rsid w:val="00BF1267"/>
    <w:rsid w:val="00BF28BE"/>
    <w:rsid w:val="00BF537B"/>
    <w:rsid w:val="00C13B20"/>
    <w:rsid w:val="00C179A0"/>
    <w:rsid w:val="00C20ED3"/>
    <w:rsid w:val="00C210D4"/>
    <w:rsid w:val="00C2280A"/>
    <w:rsid w:val="00C231C3"/>
    <w:rsid w:val="00C239C2"/>
    <w:rsid w:val="00C31712"/>
    <w:rsid w:val="00C36297"/>
    <w:rsid w:val="00C36CFC"/>
    <w:rsid w:val="00C373BF"/>
    <w:rsid w:val="00C449C6"/>
    <w:rsid w:val="00C46C98"/>
    <w:rsid w:val="00C55F40"/>
    <w:rsid w:val="00C57C59"/>
    <w:rsid w:val="00C63F11"/>
    <w:rsid w:val="00C661F4"/>
    <w:rsid w:val="00C72113"/>
    <w:rsid w:val="00C723F6"/>
    <w:rsid w:val="00C72B11"/>
    <w:rsid w:val="00C72B43"/>
    <w:rsid w:val="00C76F29"/>
    <w:rsid w:val="00C77A68"/>
    <w:rsid w:val="00C77AB8"/>
    <w:rsid w:val="00C91AA7"/>
    <w:rsid w:val="00C92849"/>
    <w:rsid w:val="00C9314A"/>
    <w:rsid w:val="00C979B7"/>
    <w:rsid w:val="00CA18B5"/>
    <w:rsid w:val="00CA43A1"/>
    <w:rsid w:val="00CA6D94"/>
    <w:rsid w:val="00CB2823"/>
    <w:rsid w:val="00CB389D"/>
    <w:rsid w:val="00CB4099"/>
    <w:rsid w:val="00CB49BF"/>
    <w:rsid w:val="00CB4A44"/>
    <w:rsid w:val="00CC0F51"/>
    <w:rsid w:val="00CC283D"/>
    <w:rsid w:val="00CC326D"/>
    <w:rsid w:val="00CC4CA7"/>
    <w:rsid w:val="00CC7BE2"/>
    <w:rsid w:val="00CD0256"/>
    <w:rsid w:val="00CD7F3E"/>
    <w:rsid w:val="00CE0A4F"/>
    <w:rsid w:val="00CE44A0"/>
    <w:rsid w:val="00CE5DDA"/>
    <w:rsid w:val="00CE67E6"/>
    <w:rsid w:val="00CE79E0"/>
    <w:rsid w:val="00CF334B"/>
    <w:rsid w:val="00CF48AD"/>
    <w:rsid w:val="00CF6A22"/>
    <w:rsid w:val="00D06121"/>
    <w:rsid w:val="00D06D65"/>
    <w:rsid w:val="00D10563"/>
    <w:rsid w:val="00D15513"/>
    <w:rsid w:val="00D20226"/>
    <w:rsid w:val="00D21D8F"/>
    <w:rsid w:val="00D22A69"/>
    <w:rsid w:val="00D24192"/>
    <w:rsid w:val="00D26B3F"/>
    <w:rsid w:val="00D27539"/>
    <w:rsid w:val="00D31F25"/>
    <w:rsid w:val="00D32028"/>
    <w:rsid w:val="00D32204"/>
    <w:rsid w:val="00D3723C"/>
    <w:rsid w:val="00D402D5"/>
    <w:rsid w:val="00D41E52"/>
    <w:rsid w:val="00D444C3"/>
    <w:rsid w:val="00D4455C"/>
    <w:rsid w:val="00D46CA7"/>
    <w:rsid w:val="00D47036"/>
    <w:rsid w:val="00D51711"/>
    <w:rsid w:val="00D56492"/>
    <w:rsid w:val="00D56678"/>
    <w:rsid w:val="00D60371"/>
    <w:rsid w:val="00D6259A"/>
    <w:rsid w:val="00D6680D"/>
    <w:rsid w:val="00D67A69"/>
    <w:rsid w:val="00D7031B"/>
    <w:rsid w:val="00D70AEE"/>
    <w:rsid w:val="00D74493"/>
    <w:rsid w:val="00D83648"/>
    <w:rsid w:val="00D84FD0"/>
    <w:rsid w:val="00D91E8A"/>
    <w:rsid w:val="00D91F57"/>
    <w:rsid w:val="00D95FA7"/>
    <w:rsid w:val="00D96208"/>
    <w:rsid w:val="00D97A6D"/>
    <w:rsid w:val="00D97BDA"/>
    <w:rsid w:val="00DA14CF"/>
    <w:rsid w:val="00DA5463"/>
    <w:rsid w:val="00DA710F"/>
    <w:rsid w:val="00DB17AC"/>
    <w:rsid w:val="00DB69DB"/>
    <w:rsid w:val="00DB6E65"/>
    <w:rsid w:val="00DD1247"/>
    <w:rsid w:val="00DD1A0D"/>
    <w:rsid w:val="00DD2308"/>
    <w:rsid w:val="00DD237A"/>
    <w:rsid w:val="00DE2811"/>
    <w:rsid w:val="00DE363C"/>
    <w:rsid w:val="00DE3870"/>
    <w:rsid w:val="00DE47B0"/>
    <w:rsid w:val="00DF0FBB"/>
    <w:rsid w:val="00DF1D8D"/>
    <w:rsid w:val="00DF2AAC"/>
    <w:rsid w:val="00DF75D1"/>
    <w:rsid w:val="00E04BE9"/>
    <w:rsid w:val="00E05D3B"/>
    <w:rsid w:val="00E06D10"/>
    <w:rsid w:val="00E1020A"/>
    <w:rsid w:val="00E2369E"/>
    <w:rsid w:val="00E27A29"/>
    <w:rsid w:val="00E30A97"/>
    <w:rsid w:val="00E310B1"/>
    <w:rsid w:val="00E31238"/>
    <w:rsid w:val="00E32902"/>
    <w:rsid w:val="00E343C6"/>
    <w:rsid w:val="00E35F8F"/>
    <w:rsid w:val="00E371C9"/>
    <w:rsid w:val="00E37C74"/>
    <w:rsid w:val="00E41DD0"/>
    <w:rsid w:val="00E42428"/>
    <w:rsid w:val="00E4327F"/>
    <w:rsid w:val="00E443E2"/>
    <w:rsid w:val="00E535CE"/>
    <w:rsid w:val="00E55640"/>
    <w:rsid w:val="00E61464"/>
    <w:rsid w:val="00E65646"/>
    <w:rsid w:val="00E72B34"/>
    <w:rsid w:val="00E73490"/>
    <w:rsid w:val="00E73FAA"/>
    <w:rsid w:val="00E7451E"/>
    <w:rsid w:val="00E76850"/>
    <w:rsid w:val="00E9278D"/>
    <w:rsid w:val="00E953B5"/>
    <w:rsid w:val="00EA027A"/>
    <w:rsid w:val="00EA1EC0"/>
    <w:rsid w:val="00EA35F0"/>
    <w:rsid w:val="00EA4C17"/>
    <w:rsid w:val="00EA4CD7"/>
    <w:rsid w:val="00EA5462"/>
    <w:rsid w:val="00EA612A"/>
    <w:rsid w:val="00EA64A9"/>
    <w:rsid w:val="00EA65D6"/>
    <w:rsid w:val="00EB0B2D"/>
    <w:rsid w:val="00EB36A5"/>
    <w:rsid w:val="00EB444E"/>
    <w:rsid w:val="00EB6B3B"/>
    <w:rsid w:val="00EC2389"/>
    <w:rsid w:val="00EC2EA0"/>
    <w:rsid w:val="00EC3622"/>
    <w:rsid w:val="00EC56DF"/>
    <w:rsid w:val="00EC71BC"/>
    <w:rsid w:val="00EC74FB"/>
    <w:rsid w:val="00ED3D29"/>
    <w:rsid w:val="00ED5C8B"/>
    <w:rsid w:val="00EE246F"/>
    <w:rsid w:val="00EE43FD"/>
    <w:rsid w:val="00EE70F0"/>
    <w:rsid w:val="00EE7F65"/>
    <w:rsid w:val="00EF4A2C"/>
    <w:rsid w:val="00EF5817"/>
    <w:rsid w:val="00EF6B18"/>
    <w:rsid w:val="00EF757F"/>
    <w:rsid w:val="00F007EE"/>
    <w:rsid w:val="00F01C83"/>
    <w:rsid w:val="00F061A4"/>
    <w:rsid w:val="00F06DA8"/>
    <w:rsid w:val="00F17642"/>
    <w:rsid w:val="00F17E86"/>
    <w:rsid w:val="00F20DF3"/>
    <w:rsid w:val="00F21795"/>
    <w:rsid w:val="00F25565"/>
    <w:rsid w:val="00F25DA9"/>
    <w:rsid w:val="00F302E2"/>
    <w:rsid w:val="00F30B49"/>
    <w:rsid w:val="00F31EC6"/>
    <w:rsid w:val="00F33F99"/>
    <w:rsid w:val="00F350D9"/>
    <w:rsid w:val="00F41A7D"/>
    <w:rsid w:val="00F42E33"/>
    <w:rsid w:val="00F43511"/>
    <w:rsid w:val="00F50D92"/>
    <w:rsid w:val="00F51F1E"/>
    <w:rsid w:val="00F53236"/>
    <w:rsid w:val="00F54752"/>
    <w:rsid w:val="00F61027"/>
    <w:rsid w:val="00F62E48"/>
    <w:rsid w:val="00F63E1B"/>
    <w:rsid w:val="00F7166A"/>
    <w:rsid w:val="00F71F2F"/>
    <w:rsid w:val="00F729E6"/>
    <w:rsid w:val="00F736D8"/>
    <w:rsid w:val="00F74F44"/>
    <w:rsid w:val="00F81FA7"/>
    <w:rsid w:val="00F86711"/>
    <w:rsid w:val="00F9212B"/>
    <w:rsid w:val="00F93E75"/>
    <w:rsid w:val="00F941D4"/>
    <w:rsid w:val="00F94FBD"/>
    <w:rsid w:val="00F96A34"/>
    <w:rsid w:val="00FA30F2"/>
    <w:rsid w:val="00FA44EE"/>
    <w:rsid w:val="00FA4FC7"/>
    <w:rsid w:val="00FB0D47"/>
    <w:rsid w:val="00FB1825"/>
    <w:rsid w:val="00FB632D"/>
    <w:rsid w:val="00FB70F7"/>
    <w:rsid w:val="00FB7648"/>
    <w:rsid w:val="00FC16BF"/>
    <w:rsid w:val="00FC3FC9"/>
    <w:rsid w:val="00FC4355"/>
    <w:rsid w:val="00FC7069"/>
    <w:rsid w:val="00FD49B2"/>
    <w:rsid w:val="00FD4F8F"/>
    <w:rsid w:val="00FE1248"/>
    <w:rsid w:val="00FE15D6"/>
    <w:rsid w:val="00FE2108"/>
    <w:rsid w:val="00FE2122"/>
    <w:rsid w:val="00FE77FB"/>
    <w:rsid w:val="00FE7F7E"/>
    <w:rsid w:val="00FF77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6E2FB3"/>
  <w15:chartTrackingRefBased/>
  <w15:docId w15:val="{B9DE84A5-4E1E-4588-926B-1DB192FB6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2CC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62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628A"/>
  </w:style>
  <w:style w:type="paragraph" w:styleId="Footer">
    <w:name w:val="footer"/>
    <w:basedOn w:val="Normal"/>
    <w:link w:val="FooterChar"/>
    <w:uiPriority w:val="99"/>
    <w:unhideWhenUsed/>
    <w:rsid w:val="008A62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28A"/>
  </w:style>
  <w:style w:type="table" w:styleId="TableGrid">
    <w:name w:val="Table Grid"/>
    <w:basedOn w:val="TableNormal"/>
    <w:rsid w:val="008A6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8A628A"/>
    <w:rPr>
      <w:color w:val="0563C1" w:themeColor="hyperlink"/>
      <w:u w:val="single"/>
    </w:rPr>
  </w:style>
  <w:style w:type="paragraph" w:styleId="Title">
    <w:name w:val="Title"/>
    <w:aliases w:val="Section"/>
    <w:next w:val="Normal"/>
    <w:link w:val="TitleChar"/>
    <w:uiPriority w:val="10"/>
    <w:qFormat/>
    <w:rsid w:val="002468BE"/>
    <w:pPr>
      <w:spacing w:after="0" w:line="240" w:lineRule="auto"/>
      <w:outlineLvl w:val="0"/>
    </w:pPr>
    <w:rPr>
      <w:rFonts w:ascii="Times New Roman" w:eastAsia="Times New Roman" w:hAnsi="Times New Roman" w:cs="Times New Roman"/>
      <w:b/>
      <w:bCs/>
      <w:iCs/>
      <w:kern w:val="28"/>
      <w:sz w:val="24"/>
      <w:szCs w:val="32"/>
    </w:rPr>
  </w:style>
  <w:style w:type="character" w:customStyle="1" w:styleId="TitleChar">
    <w:name w:val="Title Char"/>
    <w:aliases w:val="Section Char"/>
    <w:basedOn w:val="DefaultParagraphFont"/>
    <w:link w:val="Title"/>
    <w:uiPriority w:val="10"/>
    <w:rsid w:val="002468BE"/>
    <w:rPr>
      <w:rFonts w:ascii="Times New Roman" w:eastAsia="Times New Roman" w:hAnsi="Times New Roman" w:cs="Times New Roman"/>
      <w:b/>
      <w:bCs/>
      <w:iCs/>
      <w:kern w:val="28"/>
      <w:sz w:val="24"/>
      <w:szCs w:val="32"/>
    </w:rPr>
  </w:style>
  <w:style w:type="paragraph" w:customStyle="1" w:styleId="Judul">
    <w:name w:val="Judul"/>
    <w:basedOn w:val="Normal"/>
    <w:link w:val="JudulChar"/>
    <w:qFormat/>
    <w:rsid w:val="00057BB2"/>
    <w:pPr>
      <w:spacing w:after="0" w:line="240" w:lineRule="auto"/>
      <w:jc w:val="both"/>
    </w:pPr>
    <w:rPr>
      <w:rFonts w:cstheme="minorHAnsi"/>
      <w:b/>
      <w:sz w:val="32"/>
      <w:szCs w:val="32"/>
      <w:shd w:val="clear" w:color="auto" w:fill="FFFFFF"/>
    </w:rPr>
  </w:style>
  <w:style w:type="paragraph" w:customStyle="1" w:styleId="Penulis">
    <w:name w:val="Penulis"/>
    <w:basedOn w:val="Normal"/>
    <w:link w:val="PenulisChar"/>
    <w:qFormat/>
    <w:rsid w:val="00B0399D"/>
    <w:pPr>
      <w:spacing w:line="240" w:lineRule="auto"/>
      <w:jc w:val="both"/>
    </w:pPr>
    <w:rPr>
      <w:rFonts w:ascii="Book Antiqua" w:hAnsi="Book Antiqua" w:cs="Arial"/>
      <w:i/>
      <w:color w:val="222222"/>
      <w:sz w:val="24"/>
      <w:szCs w:val="24"/>
      <w:shd w:val="clear" w:color="auto" w:fill="FFFFFF"/>
    </w:rPr>
  </w:style>
  <w:style w:type="character" w:customStyle="1" w:styleId="JudulChar">
    <w:name w:val="Judul Char"/>
    <w:basedOn w:val="DefaultParagraphFont"/>
    <w:link w:val="Judul"/>
    <w:rsid w:val="00057BB2"/>
    <w:rPr>
      <w:rFonts w:cstheme="minorHAnsi"/>
      <w:b/>
      <w:sz w:val="32"/>
      <w:szCs w:val="32"/>
    </w:rPr>
  </w:style>
  <w:style w:type="paragraph" w:customStyle="1" w:styleId="Afiliasipenulis">
    <w:name w:val="Afiliasi penulis"/>
    <w:basedOn w:val="Normal"/>
    <w:link w:val="AfiliasipenulisChar"/>
    <w:qFormat/>
    <w:rsid w:val="00CD0256"/>
    <w:pPr>
      <w:spacing w:after="0" w:line="240" w:lineRule="auto"/>
      <w:jc w:val="both"/>
    </w:pPr>
    <w:rPr>
      <w:rFonts w:ascii="Book Antiqua" w:hAnsi="Book Antiqua" w:cs="Arial"/>
      <w:i/>
      <w:sz w:val="16"/>
      <w:szCs w:val="16"/>
      <w:lang w:val="en-ID"/>
    </w:rPr>
  </w:style>
  <w:style w:type="character" w:customStyle="1" w:styleId="PenulisChar">
    <w:name w:val="Penulis Char"/>
    <w:basedOn w:val="DefaultParagraphFont"/>
    <w:link w:val="Penulis"/>
    <w:rsid w:val="00B0399D"/>
    <w:rPr>
      <w:rFonts w:ascii="Book Antiqua" w:hAnsi="Book Antiqua" w:cs="Arial"/>
      <w:i/>
      <w:color w:val="222222"/>
      <w:sz w:val="24"/>
      <w:szCs w:val="24"/>
    </w:rPr>
  </w:style>
  <w:style w:type="paragraph" w:customStyle="1" w:styleId="InfoArtikel">
    <w:name w:val="Info Artikel"/>
    <w:basedOn w:val="Normal"/>
    <w:link w:val="InfoArtikelChar"/>
    <w:qFormat/>
    <w:rsid w:val="00603CAF"/>
    <w:pPr>
      <w:spacing w:after="0" w:line="240" w:lineRule="auto"/>
    </w:pPr>
    <w:rPr>
      <w:rFonts w:ascii="Palatino Linotype" w:hAnsi="Palatino Linotype" w:cstheme="minorHAnsi"/>
      <w:b/>
      <w:sz w:val="18"/>
      <w:szCs w:val="18"/>
      <w:lang w:val="en-ID"/>
    </w:rPr>
  </w:style>
  <w:style w:type="character" w:customStyle="1" w:styleId="AfiliasipenulisChar">
    <w:name w:val="Afiliasi penulis Char"/>
    <w:basedOn w:val="DefaultParagraphFont"/>
    <w:link w:val="Afiliasipenulis"/>
    <w:rsid w:val="00CD0256"/>
    <w:rPr>
      <w:rFonts w:ascii="Book Antiqua" w:hAnsi="Book Antiqua" w:cs="Arial"/>
      <w:i/>
      <w:sz w:val="16"/>
      <w:szCs w:val="16"/>
      <w:lang w:val="en-ID"/>
    </w:rPr>
  </w:style>
  <w:style w:type="paragraph" w:customStyle="1" w:styleId="Sejarahartikel">
    <w:name w:val="Sejarah artikel"/>
    <w:basedOn w:val="Normal"/>
    <w:link w:val="SejarahartikelChar"/>
    <w:qFormat/>
    <w:rsid w:val="00712194"/>
    <w:pPr>
      <w:spacing w:after="0" w:line="240" w:lineRule="auto"/>
    </w:pPr>
    <w:rPr>
      <w:rFonts w:ascii="Book Antiqua" w:hAnsi="Book Antiqua"/>
      <w:b/>
      <w:i/>
      <w:sz w:val="15"/>
      <w:szCs w:val="15"/>
      <w:lang w:val="en-ID"/>
    </w:rPr>
  </w:style>
  <w:style w:type="character" w:customStyle="1" w:styleId="InfoArtikelChar">
    <w:name w:val="Info Artikel Char"/>
    <w:basedOn w:val="DefaultParagraphFont"/>
    <w:link w:val="InfoArtikel"/>
    <w:rsid w:val="00603CAF"/>
    <w:rPr>
      <w:rFonts w:ascii="Palatino Linotype" w:hAnsi="Palatino Linotype" w:cstheme="minorHAnsi"/>
      <w:b/>
      <w:sz w:val="18"/>
      <w:szCs w:val="18"/>
      <w:lang w:val="en-ID"/>
    </w:rPr>
  </w:style>
  <w:style w:type="paragraph" w:customStyle="1" w:styleId="Isisejarahartikel">
    <w:name w:val="Isi sejarah artikel"/>
    <w:basedOn w:val="Normal"/>
    <w:link w:val="IsisejarahartikelChar"/>
    <w:qFormat/>
    <w:rsid w:val="00603CAF"/>
    <w:pPr>
      <w:spacing w:after="0" w:line="240" w:lineRule="auto"/>
    </w:pPr>
    <w:rPr>
      <w:rFonts w:ascii="Palatino Linotype" w:hAnsi="Palatino Linotype"/>
      <w:sz w:val="15"/>
      <w:szCs w:val="15"/>
      <w:lang w:val="en-ID"/>
    </w:rPr>
  </w:style>
  <w:style w:type="character" w:customStyle="1" w:styleId="SejarahartikelChar">
    <w:name w:val="Sejarah artikel Char"/>
    <w:basedOn w:val="DefaultParagraphFont"/>
    <w:link w:val="Sejarahartikel"/>
    <w:rsid w:val="00712194"/>
    <w:rPr>
      <w:rFonts w:ascii="Book Antiqua" w:hAnsi="Book Antiqua"/>
      <w:b/>
      <w:i/>
      <w:sz w:val="15"/>
      <w:szCs w:val="15"/>
      <w:lang w:val="en-ID"/>
    </w:rPr>
  </w:style>
  <w:style w:type="paragraph" w:customStyle="1" w:styleId="Katakunci">
    <w:name w:val="Kata kunci"/>
    <w:basedOn w:val="Normal"/>
    <w:link w:val="KatakunciChar"/>
    <w:qFormat/>
    <w:rsid w:val="000E744E"/>
    <w:pPr>
      <w:spacing w:after="0" w:line="240" w:lineRule="auto"/>
    </w:pPr>
    <w:rPr>
      <w:rFonts w:ascii="Book Antiqua" w:hAnsi="Book Antiqua"/>
      <w:b/>
      <w:i/>
      <w:sz w:val="15"/>
      <w:szCs w:val="15"/>
      <w:lang w:val="en-ID"/>
    </w:rPr>
  </w:style>
  <w:style w:type="character" w:customStyle="1" w:styleId="IsisejarahartikelChar">
    <w:name w:val="Isi sejarah artikel Char"/>
    <w:basedOn w:val="DefaultParagraphFont"/>
    <w:link w:val="Isisejarahartikel"/>
    <w:rsid w:val="00603CAF"/>
    <w:rPr>
      <w:rFonts w:ascii="Palatino Linotype" w:hAnsi="Palatino Linotype"/>
      <w:sz w:val="15"/>
      <w:szCs w:val="15"/>
      <w:lang w:val="en-ID"/>
    </w:rPr>
  </w:style>
  <w:style w:type="paragraph" w:customStyle="1" w:styleId="Isikatakunci">
    <w:name w:val="Isi kata kunci"/>
    <w:basedOn w:val="Normal"/>
    <w:link w:val="IsikatakunciChar"/>
    <w:qFormat/>
    <w:rsid w:val="00603CAF"/>
    <w:pPr>
      <w:spacing w:after="0" w:line="240" w:lineRule="auto"/>
    </w:pPr>
    <w:rPr>
      <w:rFonts w:ascii="Palatino Linotype" w:hAnsi="Palatino Linotype"/>
      <w:iCs/>
      <w:sz w:val="15"/>
      <w:szCs w:val="15"/>
      <w:lang w:val="id-ID"/>
    </w:rPr>
  </w:style>
  <w:style w:type="character" w:customStyle="1" w:styleId="KatakunciChar">
    <w:name w:val="Kata kunci Char"/>
    <w:basedOn w:val="DefaultParagraphFont"/>
    <w:link w:val="Katakunci"/>
    <w:rsid w:val="000E744E"/>
    <w:rPr>
      <w:rFonts w:ascii="Book Antiqua" w:hAnsi="Book Antiqua"/>
      <w:b/>
      <w:i/>
      <w:sz w:val="15"/>
      <w:szCs w:val="15"/>
      <w:lang w:val="en-ID"/>
    </w:rPr>
  </w:style>
  <w:style w:type="paragraph" w:customStyle="1" w:styleId="Isikeywords">
    <w:name w:val="Isi keywords"/>
    <w:basedOn w:val="Normal"/>
    <w:link w:val="IsikeywordsChar"/>
    <w:qFormat/>
    <w:rsid w:val="00603CAF"/>
    <w:pPr>
      <w:spacing w:after="0" w:line="240" w:lineRule="auto"/>
    </w:pPr>
    <w:rPr>
      <w:rFonts w:ascii="Palatino Linotype" w:hAnsi="Palatino Linotype"/>
      <w:i/>
      <w:sz w:val="15"/>
      <w:szCs w:val="15"/>
      <w:lang w:val="id-ID"/>
    </w:rPr>
  </w:style>
  <w:style w:type="character" w:customStyle="1" w:styleId="IsikatakunciChar">
    <w:name w:val="Isi kata kunci Char"/>
    <w:basedOn w:val="DefaultParagraphFont"/>
    <w:link w:val="Isikatakunci"/>
    <w:rsid w:val="00603CAF"/>
    <w:rPr>
      <w:rFonts w:ascii="Palatino Linotype" w:hAnsi="Palatino Linotype"/>
      <w:iCs/>
      <w:sz w:val="15"/>
      <w:szCs w:val="15"/>
      <w:lang w:val="id-ID"/>
    </w:rPr>
  </w:style>
  <w:style w:type="paragraph" w:customStyle="1" w:styleId="Abstrak">
    <w:name w:val="Abstrak"/>
    <w:basedOn w:val="Title"/>
    <w:link w:val="AbstrakChar"/>
    <w:qFormat/>
    <w:rsid w:val="000B397F"/>
    <w:pPr>
      <w:jc w:val="center"/>
    </w:pPr>
    <w:rPr>
      <w:rFonts w:ascii="Book Antiqua" w:hAnsi="Book Antiqua"/>
      <w:color w:val="000000" w:themeColor="text1"/>
      <w:sz w:val="20"/>
      <w:szCs w:val="15"/>
    </w:rPr>
  </w:style>
  <w:style w:type="character" w:customStyle="1" w:styleId="IsikeywordsChar">
    <w:name w:val="Isi keywords Char"/>
    <w:basedOn w:val="DefaultParagraphFont"/>
    <w:link w:val="Isikeywords"/>
    <w:rsid w:val="00603CAF"/>
    <w:rPr>
      <w:rFonts w:ascii="Palatino Linotype" w:hAnsi="Palatino Linotype"/>
      <w:i/>
      <w:sz w:val="15"/>
      <w:szCs w:val="15"/>
      <w:lang w:val="id-ID"/>
    </w:rPr>
  </w:style>
  <w:style w:type="paragraph" w:customStyle="1" w:styleId="Isiabstrak">
    <w:name w:val="Isi abstrak"/>
    <w:basedOn w:val="Normal"/>
    <w:link w:val="IsiabstrakChar"/>
    <w:qFormat/>
    <w:rsid w:val="00D7031B"/>
    <w:pPr>
      <w:spacing w:after="0" w:line="240" w:lineRule="auto"/>
      <w:jc w:val="both"/>
    </w:pPr>
    <w:rPr>
      <w:rFonts w:ascii="Palatino Linotype" w:hAnsi="Palatino Linotype"/>
      <w:iCs/>
      <w:sz w:val="18"/>
      <w:szCs w:val="15"/>
    </w:rPr>
  </w:style>
  <w:style w:type="character" w:customStyle="1" w:styleId="AbstrakChar">
    <w:name w:val="Abstrak Char"/>
    <w:basedOn w:val="TitleChar"/>
    <w:link w:val="Abstrak"/>
    <w:rsid w:val="000B397F"/>
    <w:rPr>
      <w:rFonts w:ascii="Book Antiqua" w:eastAsia="Times New Roman" w:hAnsi="Book Antiqua" w:cs="Times New Roman"/>
      <w:b/>
      <w:bCs/>
      <w:iCs/>
      <w:color w:val="000000" w:themeColor="text1"/>
      <w:kern w:val="28"/>
      <w:sz w:val="20"/>
      <w:szCs w:val="15"/>
    </w:rPr>
  </w:style>
  <w:style w:type="paragraph" w:customStyle="1" w:styleId="Abstract">
    <w:name w:val="Abstract"/>
    <w:basedOn w:val="Title"/>
    <w:link w:val="AbstractChar"/>
    <w:qFormat/>
    <w:rsid w:val="000B397F"/>
    <w:pPr>
      <w:jc w:val="center"/>
    </w:pPr>
    <w:rPr>
      <w:rFonts w:ascii="Book Antiqua" w:hAnsi="Book Antiqua"/>
      <w:i/>
      <w:sz w:val="20"/>
      <w:szCs w:val="18"/>
    </w:rPr>
  </w:style>
  <w:style w:type="character" w:customStyle="1" w:styleId="IsiabstrakChar">
    <w:name w:val="Isi abstrak Char"/>
    <w:basedOn w:val="DefaultParagraphFont"/>
    <w:link w:val="Isiabstrak"/>
    <w:rsid w:val="00D7031B"/>
    <w:rPr>
      <w:rFonts w:ascii="Palatino Linotype" w:hAnsi="Palatino Linotype"/>
      <w:iCs/>
      <w:sz w:val="18"/>
      <w:szCs w:val="15"/>
    </w:rPr>
  </w:style>
  <w:style w:type="paragraph" w:customStyle="1" w:styleId="Isiabstract">
    <w:name w:val="Isi abstract"/>
    <w:basedOn w:val="Normal"/>
    <w:link w:val="IsiabstractChar"/>
    <w:qFormat/>
    <w:rsid w:val="00D7031B"/>
    <w:pPr>
      <w:spacing w:after="0" w:line="240" w:lineRule="auto"/>
      <w:jc w:val="both"/>
    </w:pPr>
    <w:rPr>
      <w:rFonts w:ascii="Palatino Linotype" w:hAnsi="Palatino Linotype"/>
      <w:i/>
      <w:sz w:val="18"/>
      <w:szCs w:val="15"/>
      <w:lang w:val="sv-SE"/>
    </w:rPr>
  </w:style>
  <w:style w:type="character" w:customStyle="1" w:styleId="AbstractChar">
    <w:name w:val="Abstract Char"/>
    <w:basedOn w:val="TitleChar"/>
    <w:link w:val="Abstract"/>
    <w:rsid w:val="000B397F"/>
    <w:rPr>
      <w:rFonts w:ascii="Book Antiqua" w:eastAsia="Times New Roman" w:hAnsi="Book Antiqua" w:cs="Times New Roman"/>
      <w:b/>
      <w:bCs/>
      <w:i/>
      <w:iCs/>
      <w:kern w:val="28"/>
      <w:sz w:val="20"/>
      <w:szCs w:val="18"/>
    </w:rPr>
  </w:style>
  <w:style w:type="paragraph" w:customStyle="1" w:styleId="Hakcipta">
    <w:name w:val="Hak cipta"/>
    <w:basedOn w:val="Isiabstract"/>
    <w:link w:val="HakciptaChar"/>
    <w:qFormat/>
    <w:rsid w:val="004B7532"/>
    <w:pPr>
      <w:jc w:val="right"/>
    </w:pPr>
    <w:rPr>
      <w:rFonts w:ascii="Arial Nova Light" w:hAnsi="Arial Nova Light"/>
      <w:i w:val="0"/>
      <w:sz w:val="14"/>
      <w:lang w:val="en-ID"/>
    </w:rPr>
  </w:style>
  <w:style w:type="character" w:customStyle="1" w:styleId="IsiabstractChar">
    <w:name w:val="Isi abstract Char"/>
    <w:basedOn w:val="DefaultParagraphFont"/>
    <w:link w:val="Isiabstract"/>
    <w:rsid w:val="00D7031B"/>
    <w:rPr>
      <w:rFonts w:ascii="Palatino Linotype" w:hAnsi="Palatino Linotype"/>
      <w:i/>
      <w:sz w:val="18"/>
      <w:szCs w:val="15"/>
      <w:lang w:val="sv-SE"/>
    </w:rPr>
  </w:style>
  <w:style w:type="paragraph" w:styleId="ListParagraph">
    <w:name w:val="List Paragraph"/>
    <w:basedOn w:val="Normal"/>
    <w:link w:val="ListParagraphChar"/>
    <w:uiPriority w:val="34"/>
    <w:qFormat/>
    <w:rsid w:val="009F18F8"/>
    <w:pPr>
      <w:ind w:left="720"/>
      <w:contextualSpacing/>
    </w:pPr>
  </w:style>
  <w:style w:type="character" w:customStyle="1" w:styleId="HakciptaChar">
    <w:name w:val="Hak cipta Char"/>
    <w:basedOn w:val="IsiabstractChar"/>
    <w:link w:val="Hakcipta"/>
    <w:rsid w:val="004B7532"/>
    <w:rPr>
      <w:rFonts w:ascii="Arial Nova Light" w:hAnsi="Arial Nova Light"/>
      <w:i w:val="0"/>
      <w:sz w:val="14"/>
      <w:szCs w:val="15"/>
      <w:lang w:val="en-ID"/>
    </w:rPr>
  </w:style>
  <w:style w:type="paragraph" w:customStyle="1" w:styleId="SubJudul">
    <w:name w:val="Sub Judul"/>
    <w:basedOn w:val="ListParagraph"/>
    <w:link w:val="SubJudulChar"/>
    <w:qFormat/>
    <w:rsid w:val="009C1C73"/>
    <w:pPr>
      <w:numPr>
        <w:numId w:val="3"/>
      </w:numPr>
      <w:spacing w:after="0" w:line="240" w:lineRule="auto"/>
      <w:jc w:val="both"/>
    </w:pPr>
    <w:rPr>
      <w:rFonts w:ascii="Palatino Linotype" w:hAnsi="Palatino Linotype"/>
      <w:b/>
      <w:sz w:val="20"/>
      <w:lang w:val="en-ID"/>
    </w:rPr>
  </w:style>
  <w:style w:type="paragraph" w:styleId="FootnoteText">
    <w:name w:val="footnote text"/>
    <w:basedOn w:val="Normal"/>
    <w:link w:val="FootnoteTextChar"/>
    <w:semiHidden/>
    <w:rsid w:val="009466FC"/>
    <w:pPr>
      <w:spacing w:after="0" w:line="240" w:lineRule="auto"/>
      <w:ind w:firstLine="202"/>
      <w:jc w:val="both"/>
    </w:pPr>
    <w:rPr>
      <w:rFonts w:ascii="Times New Roman" w:eastAsia="Times New Roman" w:hAnsi="Times New Roman" w:cs="Times New Roman"/>
      <w:sz w:val="16"/>
      <w:szCs w:val="16"/>
    </w:rPr>
  </w:style>
  <w:style w:type="character" w:customStyle="1" w:styleId="ListParagraphChar">
    <w:name w:val="List Paragraph Char"/>
    <w:basedOn w:val="DefaultParagraphFont"/>
    <w:link w:val="ListParagraph"/>
    <w:uiPriority w:val="34"/>
    <w:rsid w:val="009F18F8"/>
  </w:style>
  <w:style w:type="character" w:customStyle="1" w:styleId="SubJudulChar">
    <w:name w:val="Sub Judul Char"/>
    <w:basedOn w:val="ListParagraphChar"/>
    <w:link w:val="SubJudul"/>
    <w:rsid w:val="009C1C73"/>
    <w:rPr>
      <w:rFonts w:ascii="Palatino Linotype" w:hAnsi="Palatino Linotype"/>
      <w:b/>
      <w:sz w:val="20"/>
      <w:lang w:val="en-ID"/>
    </w:rPr>
  </w:style>
  <w:style w:type="character" w:customStyle="1" w:styleId="FootnoteTextChar">
    <w:name w:val="Footnote Text Char"/>
    <w:basedOn w:val="DefaultParagraphFont"/>
    <w:link w:val="FootnoteText"/>
    <w:semiHidden/>
    <w:rsid w:val="009466FC"/>
    <w:rPr>
      <w:rFonts w:ascii="Times New Roman" w:eastAsia="Times New Roman" w:hAnsi="Times New Roman" w:cs="Times New Roman"/>
      <w:sz w:val="16"/>
      <w:szCs w:val="16"/>
    </w:rPr>
  </w:style>
  <w:style w:type="paragraph" w:customStyle="1" w:styleId="Isi">
    <w:name w:val="Isi"/>
    <w:basedOn w:val="Normal"/>
    <w:link w:val="IsiChar"/>
    <w:qFormat/>
    <w:rsid w:val="00BD29B3"/>
    <w:pPr>
      <w:spacing w:after="0"/>
      <w:jc w:val="both"/>
    </w:pPr>
    <w:rPr>
      <w:rFonts w:ascii="Palatino Linotype" w:hAnsi="Palatino Linotype"/>
      <w:sz w:val="20"/>
      <w:szCs w:val="20"/>
    </w:rPr>
  </w:style>
  <w:style w:type="paragraph" w:customStyle="1" w:styleId="Subsubjudul">
    <w:name w:val="Sub sub judul"/>
    <w:basedOn w:val="Isi"/>
    <w:link w:val="SubsubjudulChar"/>
    <w:qFormat/>
    <w:rsid w:val="00EA5462"/>
    <w:pPr>
      <w:numPr>
        <w:ilvl w:val="1"/>
        <w:numId w:val="3"/>
      </w:numPr>
      <w:spacing w:before="80" w:after="80"/>
      <w:ind w:left="720"/>
    </w:pPr>
    <w:rPr>
      <w:b/>
      <w:i/>
      <w:lang w:val="id-ID"/>
    </w:rPr>
  </w:style>
  <w:style w:type="character" w:customStyle="1" w:styleId="IsiChar">
    <w:name w:val="Isi Char"/>
    <w:basedOn w:val="DefaultParagraphFont"/>
    <w:link w:val="Isi"/>
    <w:rsid w:val="00BD29B3"/>
    <w:rPr>
      <w:rFonts w:ascii="Palatino Linotype" w:hAnsi="Palatino Linotype"/>
      <w:sz w:val="20"/>
      <w:szCs w:val="20"/>
    </w:rPr>
  </w:style>
  <w:style w:type="paragraph" w:customStyle="1" w:styleId="Text">
    <w:name w:val="Text"/>
    <w:basedOn w:val="Normal"/>
    <w:rsid w:val="00AB459A"/>
    <w:pPr>
      <w:widowControl w:val="0"/>
      <w:suppressAutoHyphens/>
      <w:spacing w:after="0" w:line="252" w:lineRule="auto"/>
      <w:ind w:firstLine="202"/>
      <w:jc w:val="both"/>
    </w:pPr>
    <w:rPr>
      <w:rFonts w:ascii="Times New Roman" w:eastAsia="Times New Roman" w:hAnsi="Times New Roman" w:cs="Times New Roman"/>
      <w:szCs w:val="20"/>
    </w:rPr>
  </w:style>
  <w:style w:type="character" w:customStyle="1" w:styleId="SubsubjudulChar">
    <w:name w:val="Sub sub judul Char"/>
    <w:basedOn w:val="IsiChar"/>
    <w:link w:val="Subsubjudul"/>
    <w:rsid w:val="00EA5462"/>
    <w:rPr>
      <w:rFonts w:ascii="Palatino Linotype" w:hAnsi="Palatino Linotype"/>
      <w:b/>
      <w:i/>
      <w:sz w:val="20"/>
      <w:szCs w:val="20"/>
      <w:lang w:val="id-ID"/>
    </w:rPr>
  </w:style>
  <w:style w:type="paragraph" w:customStyle="1" w:styleId="Gambar">
    <w:name w:val="Gambar"/>
    <w:basedOn w:val="Normal"/>
    <w:link w:val="GambarChar"/>
    <w:qFormat/>
    <w:rsid w:val="00D84FD0"/>
    <w:pPr>
      <w:jc w:val="center"/>
    </w:pPr>
    <w:rPr>
      <w:rFonts w:ascii="Palatino Linotype" w:hAnsi="Palatino Linotype" w:cstheme="minorHAnsi"/>
      <w:sz w:val="18"/>
      <w:szCs w:val="20"/>
    </w:rPr>
  </w:style>
  <w:style w:type="character" w:customStyle="1" w:styleId="GambarChar">
    <w:name w:val="Gambar Char"/>
    <w:basedOn w:val="DefaultParagraphFont"/>
    <w:link w:val="Gambar"/>
    <w:rsid w:val="00D84FD0"/>
    <w:rPr>
      <w:rFonts w:ascii="Palatino Linotype" w:hAnsi="Palatino Linotype" w:cstheme="minorHAnsi"/>
      <w:sz w:val="18"/>
      <w:szCs w:val="20"/>
    </w:rPr>
  </w:style>
  <w:style w:type="paragraph" w:customStyle="1" w:styleId="Tabel">
    <w:name w:val="Tabel"/>
    <w:basedOn w:val="Isi"/>
    <w:link w:val="TabelChar"/>
    <w:qFormat/>
    <w:rsid w:val="00914BEE"/>
    <w:pPr>
      <w:jc w:val="center"/>
    </w:pPr>
    <w:rPr>
      <w:sz w:val="18"/>
    </w:rPr>
  </w:style>
  <w:style w:type="character" w:customStyle="1" w:styleId="Heading1Char">
    <w:name w:val="Heading 1 Char"/>
    <w:basedOn w:val="DefaultParagraphFont"/>
    <w:link w:val="Heading1"/>
    <w:uiPriority w:val="9"/>
    <w:rsid w:val="00B42CC1"/>
    <w:rPr>
      <w:rFonts w:asciiTheme="majorHAnsi" w:eastAsiaTheme="majorEastAsia" w:hAnsiTheme="majorHAnsi" w:cstheme="majorBidi"/>
      <w:color w:val="2E74B5" w:themeColor="accent1" w:themeShade="BF"/>
      <w:sz w:val="32"/>
      <w:szCs w:val="32"/>
    </w:rPr>
  </w:style>
  <w:style w:type="character" w:customStyle="1" w:styleId="TabelChar">
    <w:name w:val="Tabel Char"/>
    <w:basedOn w:val="IsiChar"/>
    <w:link w:val="Tabel"/>
    <w:rsid w:val="00914BEE"/>
    <w:rPr>
      <w:rFonts w:ascii="Palatino Linotype" w:hAnsi="Palatino Linotype"/>
      <w:sz w:val="18"/>
      <w:szCs w:val="20"/>
    </w:rPr>
  </w:style>
  <w:style w:type="paragraph" w:styleId="Bibliography">
    <w:name w:val="Bibliography"/>
    <w:basedOn w:val="Normal"/>
    <w:next w:val="Normal"/>
    <w:uiPriority w:val="37"/>
    <w:unhideWhenUsed/>
    <w:rsid w:val="00B42CC1"/>
  </w:style>
  <w:style w:type="paragraph" w:customStyle="1" w:styleId="Referensi">
    <w:name w:val="Referensi"/>
    <w:basedOn w:val="Isi"/>
    <w:link w:val="ReferensiChar"/>
    <w:qFormat/>
    <w:rsid w:val="005D2DB3"/>
    <w:pPr>
      <w:ind w:left="284" w:hanging="284"/>
    </w:pPr>
  </w:style>
  <w:style w:type="character" w:customStyle="1" w:styleId="ReferensiChar">
    <w:name w:val="Referensi Char"/>
    <w:basedOn w:val="IsiChar"/>
    <w:link w:val="Referensi"/>
    <w:rsid w:val="005D2DB3"/>
    <w:rPr>
      <w:rFonts w:ascii="Palatino Linotype" w:hAnsi="Palatino Linotype"/>
      <w:sz w:val="20"/>
      <w:szCs w:val="20"/>
    </w:rPr>
  </w:style>
  <w:style w:type="paragraph" w:customStyle="1" w:styleId="Email">
    <w:name w:val="Email"/>
    <w:basedOn w:val="Normal"/>
    <w:link w:val="EmailChar"/>
    <w:qFormat/>
    <w:rsid w:val="00F53236"/>
    <w:pPr>
      <w:spacing w:after="0" w:line="240" w:lineRule="auto"/>
      <w:jc w:val="both"/>
    </w:pPr>
    <w:rPr>
      <w:rFonts w:ascii="Book Antiqua" w:hAnsi="Book Antiqua"/>
      <w:i/>
      <w:sz w:val="16"/>
      <w:szCs w:val="16"/>
      <w:lang w:val="en-ID"/>
    </w:rPr>
  </w:style>
  <w:style w:type="character" w:customStyle="1" w:styleId="EmailChar">
    <w:name w:val="Email Char"/>
    <w:basedOn w:val="DefaultParagraphFont"/>
    <w:link w:val="Email"/>
    <w:rsid w:val="00F53236"/>
    <w:rPr>
      <w:rFonts w:ascii="Book Antiqua" w:hAnsi="Book Antiqua"/>
      <w:i/>
      <w:sz w:val="16"/>
      <w:szCs w:val="16"/>
      <w:lang w:val="en-ID"/>
    </w:rPr>
  </w:style>
  <w:style w:type="character" w:styleId="Emphasis">
    <w:name w:val="Emphasis"/>
    <w:basedOn w:val="DefaultParagraphFont"/>
    <w:uiPriority w:val="20"/>
    <w:qFormat/>
    <w:rsid w:val="00960605"/>
    <w:rPr>
      <w:i/>
      <w:iCs/>
    </w:rPr>
  </w:style>
  <w:style w:type="paragraph" w:styleId="NormalWeb">
    <w:name w:val="Normal (Web)"/>
    <w:basedOn w:val="Normal"/>
    <w:uiPriority w:val="99"/>
    <w:semiHidden/>
    <w:unhideWhenUsed/>
    <w:rsid w:val="002E45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tasi">
    <w:name w:val="Sitasi"/>
    <w:basedOn w:val="Katakunci"/>
    <w:link w:val="SitasiChar"/>
    <w:qFormat/>
    <w:rsid w:val="002D525C"/>
  </w:style>
  <w:style w:type="paragraph" w:customStyle="1" w:styleId="Isisitasi">
    <w:name w:val="Isi sitasi"/>
    <w:basedOn w:val="Isikeywords"/>
    <w:link w:val="IsisitasiChar"/>
    <w:qFormat/>
    <w:rsid w:val="00D6259A"/>
    <w:rPr>
      <w:i w:val="0"/>
    </w:rPr>
  </w:style>
  <w:style w:type="character" w:customStyle="1" w:styleId="SitasiChar">
    <w:name w:val="Sitasi Char"/>
    <w:basedOn w:val="KatakunciChar"/>
    <w:link w:val="Sitasi"/>
    <w:rsid w:val="002D525C"/>
    <w:rPr>
      <w:rFonts w:ascii="Book Antiqua" w:hAnsi="Book Antiqua"/>
      <w:b/>
      <w:i/>
      <w:sz w:val="15"/>
      <w:szCs w:val="15"/>
      <w:lang w:val="en-ID"/>
    </w:rPr>
  </w:style>
  <w:style w:type="character" w:customStyle="1" w:styleId="IsisitasiChar">
    <w:name w:val="Isi sitasi Char"/>
    <w:basedOn w:val="IsikeywordsChar"/>
    <w:link w:val="Isisitasi"/>
    <w:rsid w:val="00D6259A"/>
    <w:rPr>
      <w:rFonts w:ascii="Palatino Linotype" w:hAnsi="Palatino Linotype"/>
      <w:i w:val="0"/>
      <w:sz w:val="15"/>
      <w:szCs w:val="15"/>
      <w:lang w:val="id-ID"/>
    </w:rPr>
  </w:style>
  <w:style w:type="paragraph" w:styleId="BodyText">
    <w:name w:val="Body Text"/>
    <w:basedOn w:val="Normal"/>
    <w:link w:val="BodyTextChar"/>
    <w:uiPriority w:val="1"/>
    <w:qFormat/>
    <w:rsid w:val="002049A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049A0"/>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280B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97366">
      <w:bodyDiv w:val="1"/>
      <w:marLeft w:val="0"/>
      <w:marRight w:val="0"/>
      <w:marTop w:val="0"/>
      <w:marBottom w:val="0"/>
      <w:divBdr>
        <w:top w:val="none" w:sz="0" w:space="0" w:color="auto"/>
        <w:left w:val="none" w:sz="0" w:space="0" w:color="auto"/>
        <w:bottom w:val="none" w:sz="0" w:space="0" w:color="auto"/>
        <w:right w:val="none" w:sz="0" w:space="0" w:color="auto"/>
      </w:divBdr>
    </w:div>
    <w:div w:id="51195843">
      <w:bodyDiv w:val="1"/>
      <w:marLeft w:val="0"/>
      <w:marRight w:val="0"/>
      <w:marTop w:val="0"/>
      <w:marBottom w:val="0"/>
      <w:divBdr>
        <w:top w:val="none" w:sz="0" w:space="0" w:color="auto"/>
        <w:left w:val="none" w:sz="0" w:space="0" w:color="auto"/>
        <w:bottom w:val="none" w:sz="0" w:space="0" w:color="auto"/>
        <w:right w:val="none" w:sz="0" w:space="0" w:color="auto"/>
      </w:divBdr>
    </w:div>
    <w:div w:id="82992104">
      <w:bodyDiv w:val="1"/>
      <w:marLeft w:val="0"/>
      <w:marRight w:val="0"/>
      <w:marTop w:val="0"/>
      <w:marBottom w:val="0"/>
      <w:divBdr>
        <w:top w:val="none" w:sz="0" w:space="0" w:color="auto"/>
        <w:left w:val="none" w:sz="0" w:space="0" w:color="auto"/>
        <w:bottom w:val="none" w:sz="0" w:space="0" w:color="auto"/>
        <w:right w:val="none" w:sz="0" w:space="0" w:color="auto"/>
      </w:divBdr>
    </w:div>
    <w:div w:id="89737445">
      <w:bodyDiv w:val="1"/>
      <w:marLeft w:val="0"/>
      <w:marRight w:val="0"/>
      <w:marTop w:val="0"/>
      <w:marBottom w:val="0"/>
      <w:divBdr>
        <w:top w:val="none" w:sz="0" w:space="0" w:color="auto"/>
        <w:left w:val="none" w:sz="0" w:space="0" w:color="auto"/>
        <w:bottom w:val="none" w:sz="0" w:space="0" w:color="auto"/>
        <w:right w:val="none" w:sz="0" w:space="0" w:color="auto"/>
      </w:divBdr>
    </w:div>
    <w:div w:id="129369519">
      <w:bodyDiv w:val="1"/>
      <w:marLeft w:val="0"/>
      <w:marRight w:val="0"/>
      <w:marTop w:val="0"/>
      <w:marBottom w:val="0"/>
      <w:divBdr>
        <w:top w:val="none" w:sz="0" w:space="0" w:color="auto"/>
        <w:left w:val="none" w:sz="0" w:space="0" w:color="auto"/>
        <w:bottom w:val="none" w:sz="0" w:space="0" w:color="auto"/>
        <w:right w:val="none" w:sz="0" w:space="0" w:color="auto"/>
      </w:divBdr>
    </w:div>
    <w:div w:id="184946954">
      <w:bodyDiv w:val="1"/>
      <w:marLeft w:val="0"/>
      <w:marRight w:val="0"/>
      <w:marTop w:val="0"/>
      <w:marBottom w:val="0"/>
      <w:divBdr>
        <w:top w:val="none" w:sz="0" w:space="0" w:color="auto"/>
        <w:left w:val="none" w:sz="0" w:space="0" w:color="auto"/>
        <w:bottom w:val="none" w:sz="0" w:space="0" w:color="auto"/>
        <w:right w:val="none" w:sz="0" w:space="0" w:color="auto"/>
      </w:divBdr>
    </w:div>
    <w:div w:id="224099815">
      <w:bodyDiv w:val="1"/>
      <w:marLeft w:val="0"/>
      <w:marRight w:val="0"/>
      <w:marTop w:val="0"/>
      <w:marBottom w:val="0"/>
      <w:divBdr>
        <w:top w:val="none" w:sz="0" w:space="0" w:color="auto"/>
        <w:left w:val="none" w:sz="0" w:space="0" w:color="auto"/>
        <w:bottom w:val="none" w:sz="0" w:space="0" w:color="auto"/>
        <w:right w:val="none" w:sz="0" w:space="0" w:color="auto"/>
      </w:divBdr>
    </w:div>
    <w:div w:id="267665679">
      <w:bodyDiv w:val="1"/>
      <w:marLeft w:val="0"/>
      <w:marRight w:val="0"/>
      <w:marTop w:val="0"/>
      <w:marBottom w:val="0"/>
      <w:divBdr>
        <w:top w:val="none" w:sz="0" w:space="0" w:color="auto"/>
        <w:left w:val="none" w:sz="0" w:space="0" w:color="auto"/>
        <w:bottom w:val="none" w:sz="0" w:space="0" w:color="auto"/>
        <w:right w:val="none" w:sz="0" w:space="0" w:color="auto"/>
      </w:divBdr>
    </w:div>
    <w:div w:id="287053659">
      <w:bodyDiv w:val="1"/>
      <w:marLeft w:val="0"/>
      <w:marRight w:val="0"/>
      <w:marTop w:val="0"/>
      <w:marBottom w:val="0"/>
      <w:divBdr>
        <w:top w:val="none" w:sz="0" w:space="0" w:color="auto"/>
        <w:left w:val="none" w:sz="0" w:space="0" w:color="auto"/>
        <w:bottom w:val="none" w:sz="0" w:space="0" w:color="auto"/>
        <w:right w:val="none" w:sz="0" w:space="0" w:color="auto"/>
      </w:divBdr>
    </w:div>
    <w:div w:id="305209400">
      <w:bodyDiv w:val="1"/>
      <w:marLeft w:val="0"/>
      <w:marRight w:val="0"/>
      <w:marTop w:val="0"/>
      <w:marBottom w:val="0"/>
      <w:divBdr>
        <w:top w:val="none" w:sz="0" w:space="0" w:color="auto"/>
        <w:left w:val="none" w:sz="0" w:space="0" w:color="auto"/>
        <w:bottom w:val="none" w:sz="0" w:space="0" w:color="auto"/>
        <w:right w:val="none" w:sz="0" w:space="0" w:color="auto"/>
      </w:divBdr>
    </w:div>
    <w:div w:id="345375727">
      <w:bodyDiv w:val="1"/>
      <w:marLeft w:val="0"/>
      <w:marRight w:val="0"/>
      <w:marTop w:val="0"/>
      <w:marBottom w:val="0"/>
      <w:divBdr>
        <w:top w:val="none" w:sz="0" w:space="0" w:color="auto"/>
        <w:left w:val="none" w:sz="0" w:space="0" w:color="auto"/>
        <w:bottom w:val="none" w:sz="0" w:space="0" w:color="auto"/>
        <w:right w:val="none" w:sz="0" w:space="0" w:color="auto"/>
      </w:divBdr>
    </w:div>
    <w:div w:id="358436601">
      <w:bodyDiv w:val="1"/>
      <w:marLeft w:val="0"/>
      <w:marRight w:val="0"/>
      <w:marTop w:val="0"/>
      <w:marBottom w:val="0"/>
      <w:divBdr>
        <w:top w:val="none" w:sz="0" w:space="0" w:color="auto"/>
        <w:left w:val="none" w:sz="0" w:space="0" w:color="auto"/>
        <w:bottom w:val="none" w:sz="0" w:space="0" w:color="auto"/>
        <w:right w:val="none" w:sz="0" w:space="0" w:color="auto"/>
      </w:divBdr>
    </w:div>
    <w:div w:id="413865381">
      <w:bodyDiv w:val="1"/>
      <w:marLeft w:val="0"/>
      <w:marRight w:val="0"/>
      <w:marTop w:val="0"/>
      <w:marBottom w:val="0"/>
      <w:divBdr>
        <w:top w:val="none" w:sz="0" w:space="0" w:color="auto"/>
        <w:left w:val="none" w:sz="0" w:space="0" w:color="auto"/>
        <w:bottom w:val="none" w:sz="0" w:space="0" w:color="auto"/>
        <w:right w:val="none" w:sz="0" w:space="0" w:color="auto"/>
      </w:divBdr>
    </w:div>
    <w:div w:id="427847824">
      <w:bodyDiv w:val="1"/>
      <w:marLeft w:val="0"/>
      <w:marRight w:val="0"/>
      <w:marTop w:val="0"/>
      <w:marBottom w:val="0"/>
      <w:divBdr>
        <w:top w:val="none" w:sz="0" w:space="0" w:color="auto"/>
        <w:left w:val="none" w:sz="0" w:space="0" w:color="auto"/>
        <w:bottom w:val="none" w:sz="0" w:space="0" w:color="auto"/>
        <w:right w:val="none" w:sz="0" w:space="0" w:color="auto"/>
      </w:divBdr>
    </w:div>
    <w:div w:id="468670663">
      <w:bodyDiv w:val="1"/>
      <w:marLeft w:val="0"/>
      <w:marRight w:val="0"/>
      <w:marTop w:val="0"/>
      <w:marBottom w:val="0"/>
      <w:divBdr>
        <w:top w:val="none" w:sz="0" w:space="0" w:color="auto"/>
        <w:left w:val="none" w:sz="0" w:space="0" w:color="auto"/>
        <w:bottom w:val="none" w:sz="0" w:space="0" w:color="auto"/>
        <w:right w:val="none" w:sz="0" w:space="0" w:color="auto"/>
      </w:divBdr>
    </w:div>
    <w:div w:id="504784178">
      <w:bodyDiv w:val="1"/>
      <w:marLeft w:val="0"/>
      <w:marRight w:val="0"/>
      <w:marTop w:val="0"/>
      <w:marBottom w:val="0"/>
      <w:divBdr>
        <w:top w:val="none" w:sz="0" w:space="0" w:color="auto"/>
        <w:left w:val="none" w:sz="0" w:space="0" w:color="auto"/>
        <w:bottom w:val="none" w:sz="0" w:space="0" w:color="auto"/>
        <w:right w:val="none" w:sz="0" w:space="0" w:color="auto"/>
      </w:divBdr>
    </w:div>
    <w:div w:id="518201452">
      <w:bodyDiv w:val="1"/>
      <w:marLeft w:val="0"/>
      <w:marRight w:val="0"/>
      <w:marTop w:val="0"/>
      <w:marBottom w:val="0"/>
      <w:divBdr>
        <w:top w:val="none" w:sz="0" w:space="0" w:color="auto"/>
        <w:left w:val="none" w:sz="0" w:space="0" w:color="auto"/>
        <w:bottom w:val="none" w:sz="0" w:space="0" w:color="auto"/>
        <w:right w:val="none" w:sz="0" w:space="0" w:color="auto"/>
      </w:divBdr>
    </w:div>
    <w:div w:id="526338641">
      <w:bodyDiv w:val="1"/>
      <w:marLeft w:val="0"/>
      <w:marRight w:val="0"/>
      <w:marTop w:val="0"/>
      <w:marBottom w:val="0"/>
      <w:divBdr>
        <w:top w:val="none" w:sz="0" w:space="0" w:color="auto"/>
        <w:left w:val="none" w:sz="0" w:space="0" w:color="auto"/>
        <w:bottom w:val="none" w:sz="0" w:space="0" w:color="auto"/>
        <w:right w:val="none" w:sz="0" w:space="0" w:color="auto"/>
      </w:divBdr>
    </w:div>
    <w:div w:id="569660691">
      <w:bodyDiv w:val="1"/>
      <w:marLeft w:val="0"/>
      <w:marRight w:val="0"/>
      <w:marTop w:val="0"/>
      <w:marBottom w:val="0"/>
      <w:divBdr>
        <w:top w:val="none" w:sz="0" w:space="0" w:color="auto"/>
        <w:left w:val="none" w:sz="0" w:space="0" w:color="auto"/>
        <w:bottom w:val="none" w:sz="0" w:space="0" w:color="auto"/>
        <w:right w:val="none" w:sz="0" w:space="0" w:color="auto"/>
      </w:divBdr>
    </w:div>
    <w:div w:id="594365277">
      <w:bodyDiv w:val="1"/>
      <w:marLeft w:val="0"/>
      <w:marRight w:val="0"/>
      <w:marTop w:val="0"/>
      <w:marBottom w:val="0"/>
      <w:divBdr>
        <w:top w:val="none" w:sz="0" w:space="0" w:color="auto"/>
        <w:left w:val="none" w:sz="0" w:space="0" w:color="auto"/>
        <w:bottom w:val="none" w:sz="0" w:space="0" w:color="auto"/>
        <w:right w:val="none" w:sz="0" w:space="0" w:color="auto"/>
      </w:divBdr>
    </w:div>
    <w:div w:id="596333790">
      <w:bodyDiv w:val="1"/>
      <w:marLeft w:val="0"/>
      <w:marRight w:val="0"/>
      <w:marTop w:val="0"/>
      <w:marBottom w:val="0"/>
      <w:divBdr>
        <w:top w:val="none" w:sz="0" w:space="0" w:color="auto"/>
        <w:left w:val="none" w:sz="0" w:space="0" w:color="auto"/>
        <w:bottom w:val="none" w:sz="0" w:space="0" w:color="auto"/>
        <w:right w:val="none" w:sz="0" w:space="0" w:color="auto"/>
      </w:divBdr>
    </w:div>
    <w:div w:id="612829695">
      <w:bodyDiv w:val="1"/>
      <w:marLeft w:val="0"/>
      <w:marRight w:val="0"/>
      <w:marTop w:val="0"/>
      <w:marBottom w:val="0"/>
      <w:divBdr>
        <w:top w:val="none" w:sz="0" w:space="0" w:color="auto"/>
        <w:left w:val="none" w:sz="0" w:space="0" w:color="auto"/>
        <w:bottom w:val="none" w:sz="0" w:space="0" w:color="auto"/>
        <w:right w:val="none" w:sz="0" w:space="0" w:color="auto"/>
      </w:divBdr>
    </w:div>
    <w:div w:id="656689036">
      <w:bodyDiv w:val="1"/>
      <w:marLeft w:val="0"/>
      <w:marRight w:val="0"/>
      <w:marTop w:val="0"/>
      <w:marBottom w:val="0"/>
      <w:divBdr>
        <w:top w:val="none" w:sz="0" w:space="0" w:color="auto"/>
        <w:left w:val="none" w:sz="0" w:space="0" w:color="auto"/>
        <w:bottom w:val="none" w:sz="0" w:space="0" w:color="auto"/>
        <w:right w:val="none" w:sz="0" w:space="0" w:color="auto"/>
      </w:divBdr>
    </w:div>
    <w:div w:id="683436466">
      <w:bodyDiv w:val="1"/>
      <w:marLeft w:val="0"/>
      <w:marRight w:val="0"/>
      <w:marTop w:val="0"/>
      <w:marBottom w:val="0"/>
      <w:divBdr>
        <w:top w:val="none" w:sz="0" w:space="0" w:color="auto"/>
        <w:left w:val="none" w:sz="0" w:space="0" w:color="auto"/>
        <w:bottom w:val="none" w:sz="0" w:space="0" w:color="auto"/>
        <w:right w:val="none" w:sz="0" w:space="0" w:color="auto"/>
      </w:divBdr>
    </w:div>
    <w:div w:id="706761684">
      <w:bodyDiv w:val="1"/>
      <w:marLeft w:val="0"/>
      <w:marRight w:val="0"/>
      <w:marTop w:val="0"/>
      <w:marBottom w:val="0"/>
      <w:divBdr>
        <w:top w:val="none" w:sz="0" w:space="0" w:color="auto"/>
        <w:left w:val="none" w:sz="0" w:space="0" w:color="auto"/>
        <w:bottom w:val="none" w:sz="0" w:space="0" w:color="auto"/>
        <w:right w:val="none" w:sz="0" w:space="0" w:color="auto"/>
      </w:divBdr>
    </w:div>
    <w:div w:id="773750627">
      <w:bodyDiv w:val="1"/>
      <w:marLeft w:val="0"/>
      <w:marRight w:val="0"/>
      <w:marTop w:val="0"/>
      <w:marBottom w:val="0"/>
      <w:divBdr>
        <w:top w:val="none" w:sz="0" w:space="0" w:color="auto"/>
        <w:left w:val="none" w:sz="0" w:space="0" w:color="auto"/>
        <w:bottom w:val="none" w:sz="0" w:space="0" w:color="auto"/>
        <w:right w:val="none" w:sz="0" w:space="0" w:color="auto"/>
      </w:divBdr>
    </w:div>
    <w:div w:id="810056596">
      <w:bodyDiv w:val="1"/>
      <w:marLeft w:val="0"/>
      <w:marRight w:val="0"/>
      <w:marTop w:val="0"/>
      <w:marBottom w:val="0"/>
      <w:divBdr>
        <w:top w:val="none" w:sz="0" w:space="0" w:color="auto"/>
        <w:left w:val="none" w:sz="0" w:space="0" w:color="auto"/>
        <w:bottom w:val="none" w:sz="0" w:space="0" w:color="auto"/>
        <w:right w:val="none" w:sz="0" w:space="0" w:color="auto"/>
      </w:divBdr>
    </w:div>
    <w:div w:id="813913287">
      <w:bodyDiv w:val="1"/>
      <w:marLeft w:val="0"/>
      <w:marRight w:val="0"/>
      <w:marTop w:val="0"/>
      <w:marBottom w:val="0"/>
      <w:divBdr>
        <w:top w:val="none" w:sz="0" w:space="0" w:color="auto"/>
        <w:left w:val="none" w:sz="0" w:space="0" w:color="auto"/>
        <w:bottom w:val="none" w:sz="0" w:space="0" w:color="auto"/>
        <w:right w:val="none" w:sz="0" w:space="0" w:color="auto"/>
      </w:divBdr>
    </w:div>
    <w:div w:id="867791971">
      <w:bodyDiv w:val="1"/>
      <w:marLeft w:val="0"/>
      <w:marRight w:val="0"/>
      <w:marTop w:val="0"/>
      <w:marBottom w:val="0"/>
      <w:divBdr>
        <w:top w:val="none" w:sz="0" w:space="0" w:color="auto"/>
        <w:left w:val="none" w:sz="0" w:space="0" w:color="auto"/>
        <w:bottom w:val="none" w:sz="0" w:space="0" w:color="auto"/>
        <w:right w:val="none" w:sz="0" w:space="0" w:color="auto"/>
      </w:divBdr>
    </w:div>
    <w:div w:id="895580481">
      <w:bodyDiv w:val="1"/>
      <w:marLeft w:val="0"/>
      <w:marRight w:val="0"/>
      <w:marTop w:val="0"/>
      <w:marBottom w:val="0"/>
      <w:divBdr>
        <w:top w:val="none" w:sz="0" w:space="0" w:color="auto"/>
        <w:left w:val="none" w:sz="0" w:space="0" w:color="auto"/>
        <w:bottom w:val="none" w:sz="0" w:space="0" w:color="auto"/>
        <w:right w:val="none" w:sz="0" w:space="0" w:color="auto"/>
      </w:divBdr>
    </w:div>
    <w:div w:id="903029328">
      <w:bodyDiv w:val="1"/>
      <w:marLeft w:val="0"/>
      <w:marRight w:val="0"/>
      <w:marTop w:val="0"/>
      <w:marBottom w:val="0"/>
      <w:divBdr>
        <w:top w:val="none" w:sz="0" w:space="0" w:color="auto"/>
        <w:left w:val="none" w:sz="0" w:space="0" w:color="auto"/>
        <w:bottom w:val="none" w:sz="0" w:space="0" w:color="auto"/>
        <w:right w:val="none" w:sz="0" w:space="0" w:color="auto"/>
      </w:divBdr>
    </w:div>
    <w:div w:id="918636985">
      <w:bodyDiv w:val="1"/>
      <w:marLeft w:val="0"/>
      <w:marRight w:val="0"/>
      <w:marTop w:val="0"/>
      <w:marBottom w:val="0"/>
      <w:divBdr>
        <w:top w:val="none" w:sz="0" w:space="0" w:color="auto"/>
        <w:left w:val="none" w:sz="0" w:space="0" w:color="auto"/>
        <w:bottom w:val="none" w:sz="0" w:space="0" w:color="auto"/>
        <w:right w:val="none" w:sz="0" w:space="0" w:color="auto"/>
      </w:divBdr>
    </w:div>
    <w:div w:id="922881365">
      <w:bodyDiv w:val="1"/>
      <w:marLeft w:val="0"/>
      <w:marRight w:val="0"/>
      <w:marTop w:val="0"/>
      <w:marBottom w:val="0"/>
      <w:divBdr>
        <w:top w:val="none" w:sz="0" w:space="0" w:color="auto"/>
        <w:left w:val="none" w:sz="0" w:space="0" w:color="auto"/>
        <w:bottom w:val="none" w:sz="0" w:space="0" w:color="auto"/>
        <w:right w:val="none" w:sz="0" w:space="0" w:color="auto"/>
      </w:divBdr>
    </w:div>
    <w:div w:id="993684713">
      <w:bodyDiv w:val="1"/>
      <w:marLeft w:val="0"/>
      <w:marRight w:val="0"/>
      <w:marTop w:val="0"/>
      <w:marBottom w:val="0"/>
      <w:divBdr>
        <w:top w:val="none" w:sz="0" w:space="0" w:color="auto"/>
        <w:left w:val="none" w:sz="0" w:space="0" w:color="auto"/>
        <w:bottom w:val="none" w:sz="0" w:space="0" w:color="auto"/>
        <w:right w:val="none" w:sz="0" w:space="0" w:color="auto"/>
      </w:divBdr>
    </w:div>
    <w:div w:id="1007975071">
      <w:bodyDiv w:val="1"/>
      <w:marLeft w:val="0"/>
      <w:marRight w:val="0"/>
      <w:marTop w:val="0"/>
      <w:marBottom w:val="0"/>
      <w:divBdr>
        <w:top w:val="none" w:sz="0" w:space="0" w:color="auto"/>
        <w:left w:val="none" w:sz="0" w:space="0" w:color="auto"/>
        <w:bottom w:val="none" w:sz="0" w:space="0" w:color="auto"/>
        <w:right w:val="none" w:sz="0" w:space="0" w:color="auto"/>
      </w:divBdr>
    </w:div>
    <w:div w:id="1013723752">
      <w:bodyDiv w:val="1"/>
      <w:marLeft w:val="0"/>
      <w:marRight w:val="0"/>
      <w:marTop w:val="0"/>
      <w:marBottom w:val="0"/>
      <w:divBdr>
        <w:top w:val="none" w:sz="0" w:space="0" w:color="auto"/>
        <w:left w:val="none" w:sz="0" w:space="0" w:color="auto"/>
        <w:bottom w:val="none" w:sz="0" w:space="0" w:color="auto"/>
        <w:right w:val="none" w:sz="0" w:space="0" w:color="auto"/>
      </w:divBdr>
    </w:div>
    <w:div w:id="1104151929">
      <w:bodyDiv w:val="1"/>
      <w:marLeft w:val="0"/>
      <w:marRight w:val="0"/>
      <w:marTop w:val="0"/>
      <w:marBottom w:val="0"/>
      <w:divBdr>
        <w:top w:val="none" w:sz="0" w:space="0" w:color="auto"/>
        <w:left w:val="none" w:sz="0" w:space="0" w:color="auto"/>
        <w:bottom w:val="none" w:sz="0" w:space="0" w:color="auto"/>
        <w:right w:val="none" w:sz="0" w:space="0" w:color="auto"/>
      </w:divBdr>
    </w:div>
    <w:div w:id="1113743979">
      <w:bodyDiv w:val="1"/>
      <w:marLeft w:val="0"/>
      <w:marRight w:val="0"/>
      <w:marTop w:val="0"/>
      <w:marBottom w:val="0"/>
      <w:divBdr>
        <w:top w:val="none" w:sz="0" w:space="0" w:color="auto"/>
        <w:left w:val="none" w:sz="0" w:space="0" w:color="auto"/>
        <w:bottom w:val="none" w:sz="0" w:space="0" w:color="auto"/>
        <w:right w:val="none" w:sz="0" w:space="0" w:color="auto"/>
      </w:divBdr>
    </w:div>
    <w:div w:id="1116100568">
      <w:bodyDiv w:val="1"/>
      <w:marLeft w:val="0"/>
      <w:marRight w:val="0"/>
      <w:marTop w:val="0"/>
      <w:marBottom w:val="0"/>
      <w:divBdr>
        <w:top w:val="none" w:sz="0" w:space="0" w:color="auto"/>
        <w:left w:val="none" w:sz="0" w:space="0" w:color="auto"/>
        <w:bottom w:val="none" w:sz="0" w:space="0" w:color="auto"/>
        <w:right w:val="none" w:sz="0" w:space="0" w:color="auto"/>
      </w:divBdr>
    </w:div>
    <w:div w:id="1129394652">
      <w:bodyDiv w:val="1"/>
      <w:marLeft w:val="0"/>
      <w:marRight w:val="0"/>
      <w:marTop w:val="0"/>
      <w:marBottom w:val="0"/>
      <w:divBdr>
        <w:top w:val="none" w:sz="0" w:space="0" w:color="auto"/>
        <w:left w:val="none" w:sz="0" w:space="0" w:color="auto"/>
        <w:bottom w:val="none" w:sz="0" w:space="0" w:color="auto"/>
        <w:right w:val="none" w:sz="0" w:space="0" w:color="auto"/>
      </w:divBdr>
    </w:div>
    <w:div w:id="1162160145">
      <w:bodyDiv w:val="1"/>
      <w:marLeft w:val="0"/>
      <w:marRight w:val="0"/>
      <w:marTop w:val="0"/>
      <w:marBottom w:val="0"/>
      <w:divBdr>
        <w:top w:val="none" w:sz="0" w:space="0" w:color="auto"/>
        <w:left w:val="none" w:sz="0" w:space="0" w:color="auto"/>
        <w:bottom w:val="none" w:sz="0" w:space="0" w:color="auto"/>
        <w:right w:val="none" w:sz="0" w:space="0" w:color="auto"/>
      </w:divBdr>
    </w:div>
    <w:div w:id="1190610755">
      <w:bodyDiv w:val="1"/>
      <w:marLeft w:val="0"/>
      <w:marRight w:val="0"/>
      <w:marTop w:val="0"/>
      <w:marBottom w:val="0"/>
      <w:divBdr>
        <w:top w:val="none" w:sz="0" w:space="0" w:color="auto"/>
        <w:left w:val="none" w:sz="0" w:space="0" w:color="auto"/>
        <w:bottom w:val="none" w:sz="0" w:space="0" w:color="auto"/>
        <w:right w:val="none" w:sz="0" w:space="0" w:color="auto"/>
      </w:divBdr>
    </w:div>
    <w:div w:id="1205172042">
      <w:bodyDiv w:val="1"/>
      <w:marLeft w:val="0"/>
      <w:marRight w:val="0"/>
      <w:marTop w:val="0"/>
      <w:marBottom w:val="0"/>
      <w:divBdr>
        <w:top w:val="none" w:sz="0" w:space="0" w:color="auto"/>
        <w:left w:val="none" w:sz="0" w:space="0" w:color="auto"/>
        <w:bottom w:val="none" w:sz="0" w:space="0" w:color="auto"/>
        <w:right w:val="none" w:sz="0" w:space="0" w:color="auto"/>
      </w:divBdr>
    </w:div>
    <w:div w:id="1229464694">
      <w:bodyDiv w:val="1"/>
      <w:marLeft w:val="0"/>
      <w:marRight w:val="0"/>
      <w:marTop w:val="0"/>
      <w:marBottom w:val="0"/>
      <w:divBdr>
        <w:top w:val="none" w:sz="0" w:space="0" w:color="auto"/>
        <w:left w:val="none" w:sz="0" w:space="0" w:color="auto"/>
        <w:bottom w:val="none" w:sz="0" w:space="0" w:color="auto"/>
        <w:right w:val="none" w:sz="0" w:space="0" w:color="auto"/>
      </w:divBdr>
    </w:div>
    <w:div w:id="1239289348">
      <w:bodyDiv w:val="1"/>
      <w:marLeft w:val="0"/>
      <w:marRight w:val="0"/>
      <w:marTop w:val="0"/>
      <w:marBottom w:val="0"/>
      <w:divBdr>
        <w:top w:val="none" w:sz="0" w:space="0" w:color="auto"/>
        <w:left w:val="none" w:sz="0" w:space="0" w:color="auto"/>
        <w:bottom w:val="none" w:sz="0" w:space="0" w:color="auto"/>
        <w:right w:val="none" w:sz="0" w:space="0" w:color="auto"/>
      </w:divBdr>
    </w:div>
    <w:div w:id="1259872456">
      <w:bodyDiv w:val="1"/>
      <w:marLeft w:val="0"/>
      <w:marRight w:val="0"/>
      <w:marTop w:val="0"/>
      <w:marBottom w:val="0"/>
      <w:divBdr>
        <w:top w:val="none" w:sz="0" w:space="0" w:color="auto"/>
        <w:left w:val="none" w:sz="0" w:space="0" w:color="auto"/>
        <w:bottom w:val="none" w:sz="0" w:space="0" w:color="auto"/>
        <w:right w:val="none" w:sz="0" w:space="0" w:color="auto"/>
      </w:divBdr>
    </w:div>
    <w:div w:id="1260942178">
      <w:bodyDiv w:val="1"/>
      <w:marLeft w:val="0"/>
      <w:marRight w:val="0"/>
      <w:marTop w:val="0"/>
      <w:marBottom w:val="0"/>
      <w:divBdr>
        <w:top w:val="none" w:sz="0" w:space="0" w:color="auto"/>
        <w:left w:val="none" w:sz="0" w:space="0" w:color="auto"/>
        <w:bottom w:val="none" w:sz="0" w:space="0" w:color="auto"/>
        <w:right w:val="none" w:sz="0" w:space="0" w:color="auto"/>
      </w:divBdr>
    </w:div>
    <w:div w:id="1314408798">
      <w:bodyDiv w:val="1"/>
      <w:marLeft w:val="0"/>
      <w:marRight w:val="0"/>
      <w:marTop w:val="0"/>
      <w:marBottom w:val="0"/>
      <w:divBdr>
        <w:top w:val="none" w:sz="0" w:space="0" w:color="auto"/>
        <w:left w:val="none" w:sz="0" w:space="0" w:color="auto"/>
        <w:bottom w:val="none" w:sz="0" w:space="0" w:color="auto"/>
        <w:right w:val="none" w:sz="0" w:space="0" w:color="auto"/>
      </w:divBdr>
    </w:div>
    <w:div w:id="1348217336">
      <w:bodyDiv w:val="1"/>
      <w:marLeft w:val="0"/>
      <w:marRight w:val="0"/>
      <w:marTop w:val="0"/>
      <w:marBottom w:val="0"/>
      <w:divBdr>
        <w:top w:val="none" w:sz="0" w:space="0" w:color="auto"/>
        <w:left w:val="none" w:sz="0" w:space="0" w:color="auto"/>
        <w:bottom w:val="none" w:sz="0" w:space="0" w:color="auto"/>
        <w:right w:val="none" w:sz="0" w:space="0" w:color="auto"/>
      </w:divBdr>
    </w:div>
    <w:div w:id="1381899717">
      <w:bodyDiv w:val="1"/>
      <w:marLeft w:val="0"/>
      <w:marRight w:val="0"/>
      <w:marTop w:val="0"/>
      <w:marBottom w:val="0"/>
      <w:divBdr>
        <w:top w:val="none" w:sz="0" w:space="0" w:color="auto"/>
        <w:left w:val="none" w:sz="0" w:space="0" w:color="auto"/>
        <w:bottom w:val="none" w:sz="0" w:space="0" w:color="auto"/>
        <w:right w:val="none" w:sz="0" w:space="0" w:color="auto"/>
      </w:divBdr>
    </w:div>
    <w:div w:id="1382055111">
      <w:bodyDiv w:val="1"/>
      <w:marLeft w:val="0"/>
      <w:marRight w:val="0"/>
      <w:marTop w:val="0"/>
      <w:marBottom w:val="0"/>
      <w:divBdr>
        <w:top w:val="none" w:sz="0" w:space="0" w:color="auto"/>
        <w:left w:val="none" w:sz="0" w:space="0" w:color="auto"/>
        <w:bottom w:val="none" w:sz="0" w:space="0" w:color="auto"/>
        <w:right w:val="none" w:sz="0" w:space="0" w:color="auto"/>
      </w:divBdr>
    </w:div>
    <w:div w:id="1388534042">
      <w:bodyDiv w:val="1"/>
      <w:marLeft w:val="0"/>
      <w:marRight w:val="0"/>
      <w:marTop w:val="0"/>
      <w:marBottom w:val="0"/>
      <w:divBdr>
        <w:top w:val="none" w:sz="0" w:space="0" w:color="auto"/>
        <w:left w:val="none" w:sz="0" w:space="0" w:color="auto"/>
        <w:bottom w:val="none" w:sz="0" w:space="0" w:color="auto"/>
        <w:right w:val="none" w:sz="0" w:space="0" w:color="auto"/>
      </w:divBdr>
    </w:div>
    <w:div w:id="1402941620">
      <w:bodyDiv w:val="1"/>
      <w:marLeft w:val="0"/>
      <w:marRight w:val="0"/>
      <w:marTop w:val="0"/>
      <w:marBottom w:val="0"/>
      <w:divBdr>
        <w:top w:val="none" w:sz="0" w:space="0" w:color="auto"/>
        <w:left w:val="none" w:sz="0" w:space="0" w:color="auto"/>
        <w:bottom w:val="none" w:sz="0" w:space="0" w:color="auto"/>
        <w:right w:val="none" w:sz="0" w:space="0" w:color="auto"/>
      </w:divBdr>
    </w:div>
    <w:div w:id="1413510619">
      <w:bodyDiv w:val="1"/>
      <w:marLeft w:val="0"/>
      <w:marRight w:val="0"/>
      <w:marTop w:val="0"/>
      <w:marBottom w:val="0"/>
      <w:divBdr>
        <w:top w:val="none" w:sz="0" w:space="0" w:color="auto"/>
        <w:left w:val="none" w:sz="0" w:space="0" w:color="auto"/>
        <w:bottom w:val="none" w:sz="0" w:space="0" w:color="auto"/>
        <w:right w:val="none" w:sz="0" w:space="0" w:color="auto"/>
      </w:divBdr>
    </w:div>
    <w:div w:id="1416973158">
      <w:bodyDiv w:val="1"/>
      <w:marLeft w:val="0"/>
      <w:marRight w:val="0"/>
      <w:marTop w:val="0"/>
      <w:marBottom w:val="0"/>
      <w:divBdr>
        <w:top w:val="none" w:sz="0" w:space="0" w:color="auto"/>
        <w:left w:val="none" w:sz="0" w:space="0" w:color="auto"/>
        <w:bottom w:val="none" w:sz="0" w:space="0" w:color="auto"/>
        <w:right w:val="none" w:sz="0" w:space="0" w:color="auto"/>
      </w:divBdr>
    </w:div>
    <w:div w:id="1434982199">
      <w:bodyDiv w:val="1"/>
      <w:marLeft w:val="0"/>
      <w:marRight w:val="0"/>
      <w:marTop w:val="0"/>
      <w:marBottom w:val="0"/>
      <w:divBdr>
        <w:top w:val="none" w:sz="0" w:space="0" w:color="auto"/>
        <w:left w:val="none" w:sz="0" w:space="0" w:color="auto"/>
        <w:bottom w:val="none" w:sz="0" w:space="0" w:color="auto"/>
        <w:right w:val="none" w:sz="0" w:space="0" w:color="auto"/>
      </w:divBdr>
    </w:div>
    <w:div w:id="1455751811">
      <w:bodyDiv w:val="1"/>
      <w:marLeft w:val="0"/>
      <w:marRight w:val="0"/>
      <w:marTop w:val="0"/>
      <w:marBottom w:val="0"/>
      <w:divBdr>
        <w:top w:val="none" w:sz="0" w:space="0" w:color="auto"/>
        <w:left w:val="none" w:sz="0" w:space="0" w:color="auto"/>
        <w:bottom w:val="none" w:sz="0" w:space="0" w:color="auto"/>
        <w:right w:val="none" w:sz="0" w:space="0" w:color="auto"/>
      </w:divBdr>
    </w:div>
    <w:div w:id="1484349727">
      <w:bodyDiv w:val="1"/>
      <w:marLeft w:val="0"/>
      <w:marRight w:val="0"/>
      <w:marTop w:val="0"/>
      <w:marBottom w:val="0"/>
      <w:divBdr>
        <w:top w:val="none" w:sz="0" w:space="0" w:color="auto"/>
        <w:left w:val="none" w:sz="0" w:space="0" w:color="auto"/>
        <w:bottom w:val="none" w:sz="0" w:space="0" w:color="auto"/>
        <w:right w:val="none" w:sz="0" w:space="0" w:color="auto"/>
      </w:divBdr>
    </w:div>
    <w:div w:id="1492333638">
      <w:bodyDiv w:val="1"/>
      <w:marLeft w:val="0"/>
      <w:marRight w:val="0"/>
      <w:marTop w:val="0"/>
      <w:marBottom w:val="0"/>
      <w:divBdr>
        <w:top w:val="none" w:sz="0" w:space="0" w:color="auto"/>
        <w:left w:val="none" w:sz="0" w:space="0" w:color="auto"/>
        <w:bottom w:val="none" w:sz="0" w:space="0" w:color="auto"/>
        <w:right w:val="none" w:sz="0" w:space="0" w:color="auto"/>
      </w:divBdr>
    </w:div>
    <w:div w:id="1506285895">
      <w:bodyDiv w:val="1"/>
      <w:marLeft w:val="0"/>
      <w:marRight w:val="0"/>
      <w:marTop w:val="0"/>
      <w:marBottom w:val="0"/>
      <w:divBdr>
        <w:top w:val="none" w:sz="0" w:space="0" w:color="auto"/>
        <w:left w:val="none" w:sz="0" w:space="0" w:color="auto"/>
        <w:bottom w:val="none" w:sz="0" w:space="0" w:color="auto"/>
        <w:right w:val="none" w:sz="0" w:space="0" w:color="auto"/>
      </w:divBdr>
    </w:div>
    <w:div w:id="1508328294">
      <w:bodyDiv w:val="1"/>
      <w:marLeft w:val="0"/>
      <w:marRight w:val="0"/>
      <w:marTop w:val="0"/>
      <w:marBottom w:val="0"/>
      <w:divBdr>
        <w:top w:val="none" w:sz="0" w:space="0" w:color="auto"/>
        <w:left w:val="none" w:sz="0" w:space="0" w:color="auto"/>
        <w:bottom w:val="none" w:sz="0" w:space="0" w:color="auto"/>
        <w:right w:val="none" w:sz="0" w:space="0" w:color="auto"/>
      </w:divBdr>
    </w:div>
    <w:div w:id="1523738544">
      <w:bodyDiv w:val="1"/>
      <w:marLeft w:val="0"/>
      <w:marRight w:val="0"/>
      <w:marTop w:val="0"/>
      <w:marBottom w:val="0"/>
      <w:divBdr>
        <w:top w:val="none" w:sz="0" w:space="0" w:color="auto"/>
        <w:left w:val="none" w:sz="0" w:space="0" w:color="auto"/>
        <w:bottom w:val="none" w:sz="0" w:space="0" w:color="auto"/>
        <w:right w:val="none" w:sz="0" w:space="0" w:color="auto"/>
      </w:divBdr>
    </w:div>
    <w:div w:id="1542204317">
      <w:bodyDiv w:val="1"/>
      <w:marLeft w:val="0"/>
      <w:marRight w:val="0"/>
      <w:marTop w:val="0"/>
      <w:marBottom w:val="0"/>
      <w:divBdr>
        <w:top w:val="none" w:sz="0" w:space="0" w:color="auto"/>
        <w:left w:val="none" w:sz="0" w:space="0" w:color="auto"/>
        <w:bottom w:val="none" w:sz="0" w:space="0" w:color="auto"/>
        <w:right w:val="none" w:sz="0" w:space="0" w:color="auto"/>
      </w:divBdr>
    </w:div>
    <w:div w:id="1574464274">
      <w:bodyDiv w:val="1"/>
      <w:marLeft w:val="0"/>
      <w:marRight w:val="0"/>
      <w:marTop w:val="0"/>
      <w:marBottom w:val="0"/>
      <w:divBdr>
        <w:top w:val="none" w:sz="0" w:space="0" w:color="auto"/>
        <w:left w:val="none" w:sz="0" w:space="0" w:color="auto"/>
        <w:bottom w:val="none" w:sz="0" w:space="0" w:color="auto"/>
        <w:right w:val="none" w:sz="0" w:space="0" w:color="auto"/>
      </w:divBdr>
    </w:div>
    <w:div w:id="1575163968">
      <w:bodyDiv w:val="1"/>
      <w:marLeft w:val="0"/>
      <w:marRight w:val="0"/>
      <w:marTop w:val="0"/>
      <w:marBottom w:val="0"/>
      <w:divBdr>
        <w:top w:val="none" w:sz="0" w:space="0" w:color="auto"/>
        <w:left w:val="none" w:sz="0" w:space="0" w:color="auto"/>
        <w:bottom w:val="none" w:sz="0" w:space="0" w:color="auto"/>
        <w:right w:val="none" w:sz="0" w:space="0" w:color="auto"/>
      </w:divBdr>
    </w:div>
    <w:div w:id="1592005827">
      <w:bodyDiv w:val="1"/>
      <w:marLeft w:val="0"/>
      <w:marRight w:val="0"/>
      <w:marTop w:val="0"/>
      <w:marBottom w:val="0"/>
      <w:divBdr>
        <w:top w:val="none" w:sz="0" w:space="0" w:color="auto"/>
        <w:left w:val="none" w:sz="0" w:space="0" w:color="auto"/>
        <w:bottom w:val="none" w:sz="0" w:space="0" w:color="auto"/>
        <w:right w:val="none" w:sz="0" w:space="0" w:color="auto"/>
      </w:divBdr>
    </w:div>
    <w:div w:id="1614050925">
      <w:bodyDiv w:val="1"/>
      <w:marLeft w:val="0"/>
      <w:marRight w:val="0"/>
      <w:marTop w:val="0"/>
      <w:marBottom w:val="0"/>
      <w:divBdr>
        <w:top w:val="none" w:sz="0" w:space="0" w:color="auto"/>
        <w:left w:val="none" w:sz="0" w:space="0" w:color="auto"/>
        <w:bottom w:val="none" w:sz="0" w:space="0" w:color="auto"/>
        <w:right w:val="none" w:sz="0" w:space="0" w:color="auto"/>
      </w:divBdr>
    </w:div>
    <w:div w:id="1625498278">
      <w:bodyDiv w:val="1"/>
      <w:marLeft w:val="0"/>
      <w:marRight w:val="0"/>
      <w:marTop w:val="0"/>
      <w:marBottom w:val="0"/>
      <w:divBdr>
        <w:top w:val="none" w:sz="0" w:space="0" w:color="auto"/>
        <w:left w:val="none" w:sz="0" w:space="0" w:color="auto"/>
        <w:bottom w:val="none" w:sz="0" w:space="0" w:color="auto"/>
        <w:right w:val="none" w:sz="0" w:space="0" w:color="auto"/>
      </w:divBdr>
    </w:div>
    <w:div w:id="1636253278">
      <w:bodyDiv w:val="1"/>
      <w:marLeft w:val="0"/>
      <w:marRight w:val="0"/>
      <w:marTop w:val="0"/>
      <w:marBottom w:val="0"/>
      <w:divBdr>
        <w:top w:val="none" w:sz="0" w:space="0" w:color="auto"/>
        <w:left w:val="none" w:sz="0" w:space="0" w:color="auto"/>
        <w:bottom w:val="none" w:sz="0" w:space="0" w:color="auto"/>
        <w:right w:val="none" w:sz="0" w:space="0" w:color="auto"/>
      </w:divBdr>
    </w:div>
    <w:div w:id="1668748993">
      <w:bodyDiv w:val="1"/>
      <w:marLeft w:val="0"/>
      <w:marRight w:val="0"/>
      <w:marTop w:val="0"/>
      <w:marBottom w:val="0"/>
      <w:divBdr>
        <w:top w:val="none" w:sz="0" w:space="0" w:color="auto"/>
        <w:left w:val="none" w:sz="0" w:space="0" w:color="auto"/>
        <w:bottom w:val="none" w:sz="0" w:space="0" w:color="auto"/>
        <w:right w:val="none" w:sz="0" w:space="0" w:color="auto"/>
      </w:divBdr>
    </w:div>
    <w:div w:id="1672417217">
      <w:bodyDiv w:val="1"/>
      <w:marLeft w:val="0"/>
      <w:marRight w:val="0"/>
      <w:marTop w:val="0"/>
      <w:marBottom w:val="0"/>
      <w:divBdr>
        <w:top w:val="none" w:sz="0" w:space="0" w:color="auto"/>
        <w:left w:val="none" w:sz="0" w:space="0" w:color="auto"/>
        <w:bottom w:val="none" w:sz="0" w:space="0" w:color="auto"/>
        <w:right w:val="none" w:sz="0" w:space="0" w:color="auto"/>
      </w:divBdr>
    </w:div>
    <w:div w:id="1691905486">
      <w:bodyDiv w:val="1"/>
      <w:marLeft w:val="0"/>
      <w:marRight w:val="0"/>
      <w:marTop w:val="0"/>
      <w:marBottom w:val="0"/>
      <w:divBdr>
        <w:top w:val="none" w:sz="0" w:space="0" w:color="auto"/>
        <w:left w:val="none" w:sz="0" w:space="0" w:color="auto"/>
        <w:bottom w:val="none" w:sz="0" w:space="0" w:color="auto"/>
        <w:right w:val="none" w:sz="0" w:space="0" w:color="auto"/>
      </w:divBdr>
    </w:div>
    <w:div w:id="1699043847">
      <w:bodyDiv w:val="1"/>
      <w:marLeft w:val="0"/>
      <w:marRight w:val="0"/>
      <w:marTop w:val="0"/>
      <w:marBottom w:val="0"/>
      <w:divBdr>
        <w:top w:val="none" w:sz="0" w:space="0" w:color="auto"/>
        <w:left w:val="none" w:sz="0" w:space="0" w:color="auto"/>
        <w:bottom w:val="none" w:sz="0" w:space="0" w:color="auto"/>
        <w:right w:val="none" w:sz="0" w:space="0" w:color="auto"/>
      </w:divBdr>
    </w:div>
    <w:div w:id="1702704477">
      <w:bodyDiv w:val="1"/>
      <w:marLeft w:val="0"/>
      <w:marRight w:val="0"/>
      <w:marTop w:val="0"/>
      <w:marBottom w:val="0"/>
      <w:divBdr>
        <w:top w:val="none" w:sz="0" w:space="0" w:color="auto"/>
        <w:left w:val="none" w:sz="0" w:space="0" w:color="auto"/>
        <w:bottom w:val="none" w:sz="0" w:space="0" w:color="auto"/>
        <w:right w:val="none" w:sz="0" w:space="0" w:color="auto"/>
      </w:divBdr>
    </w:div>
    <w:div w:id="1718354181">
      <w:bodyDiv w:val="1"/>
      <w:marLeft w:val="0"/>
      <w:marRight w:val="0"/>
      <w:marTop w:val="0"/>
      <w:marBottom w:val="0"/>
      <w:divBdr>
        <w:top w:val="none" w:sz="0" w:space="0" w:color="auto"/>
        <w:left w:val="none" w:sz="0" w:space="0" w:color="auto"/>
        <w:bottom w:val="none" w:sz="0" w:space="0" w:color="auto"/>
        <w:right w:val="none" w:sz="0" w:space="0" w:color="auto"/>
      </w:divBdr>
    </w:div>
    <w:div w:id="1743795219">
      <w:bodyDiv w:val="1"/>
      <w:marLeft w:val="0"/>
      <w:marRight w:val="0"/>
      <w:marTop w:val="0"/>
      <w:marBottom w:val="0"/>
      <w:divBdr>
        <w:top w:val="none" w:sz="0" w:space="0" w:color="auto"/>
        <w:left w:val="none" w:sz="0" w:space="0" w:color="auto"/>
        <w:bottom w:val="none" w:sz="0" w:space="0" w:color="auto"/>
        <w:right w:val="none" w:sz="0" w:space="0" w:color="auto"/>
      </w:divBdr>
    </w:div>
    <w:div w:id="1764762812">
      <w:bodyDiv w:val="1"/>
      <w:marLeft w:val="0"/>
      <w:marRight w:val="0"/>
      <w:marTop w:val="0"/>
      <w:marBottom w:val="0"/>
      <w:divBdr>
        <w:top w:val="none" w:sz="0" w:space="0" w:color="auto"/>
        <w:left w:val="none" w:sz="0" w:space="0" w:color="auto"/>
        <w:bottom w:val="none" w:sz="0" w:space="0" w:color="auto"/>
        <w:right w:val="none" w:sz="0" w:space="0" w:color="auto"/>
      </w:divBdr>
    </w:div>
    <w:div w:id="1773012462">
      <w:bodyDiv w:val="1"/>
      <w:marLeft w:val="0"/>
      <w:marRight w:val="0"/>
      <w:marTop w:val="0"/>
      <w:marBottom w:val="0"/>
      <w:divBdr>
        <w:top w:val="none" w:sz="0" w:space="0" w:color="auto"/>
        <w:left w:val="none" w:sz="0" w:space="0" w:color="auto"/>
        <w:bottom w:val="none" w:sz="0" w:space="0" w:color="auto"/>
        <w:right w:val="none" w:sz="0" w:space="0" w:color="auto"/>
      </w:divBdr>
    </w:div>
    <w:div w:id="1792628200">
      <w:bodyDiv w:val="1"/>
      <w:marLeft w:val="0"/>
      <w:marRight w:val="0"/>
      <w:marTop w:val="0"/>
      <w:marBottom w:val="0"/>
      <w:divBdr>
        <w:top w:val="none" w:sz="0" w:space="0" w:color="auto"/>
        <w:left w:val="none" w:sz="0" w:space="0" w:color="auto"/>
        <w:bottom w:val="none" w:sz="0" w:space="0" w:color="auto"/>
        <w:right w:val="none" w:sz="0" w:space="0" w:color="auto"/>
      </w:divBdr>
    </w:div>
    <w:div w:id="1809742391">
      <w:bodyDiv w:val="1"/>
      <w:marLeft w:val="0"/>
      <w:marRight w:val="0"/>
      <w:marTop w:val="0"/>
      <w:marBottom w:val="0"/>
      <w:divBdr>
        <w:top w:val="none" w:sz="0" w:space="0" w:color="auto"/>
        <w:left w:val="none" w:sz="0" w:space="0" w:color="auto"/>
        <w:bottom w:val="none" w:sz="0" w:space="0" w:color="auto"/>
        <w:right w:val="none" w:sz="0" w:space="0" w:color="auto"/>
      </w:divBdr>
    </w:div>
    <w:div w:id="1816143188">
      <w:bodyDiv w:val="1"/>
      <w:marLeft w:val="0"/>
      <w:marRight w:val="0"/>
      <w:marTop w:val="0"/>
      <w:marBottom w:val="0"/>
      <w:divBdr>
        <w:top w:val="none" w:sz="0" w:space="0" w:color="auto"/>
        <w:left w:val="none" w:sz="0" w:space="0" w:color="auto"/>
        <w:bottom w:val="none" w:sz="0" w:space="0" w:color="auto"/>
        <w:right w:val="none" w:sz="0" w:space="0" w:color="auto"/>
      </w:divBdr>
    </w:div>
    <w:div w:id="1857303880">
      <w:bodyDiv w:val="1"/>
      <w:marLeft w:val="0"/>
      <w:marRight w:val="0"/>
      <w:marTop w:val="0"/>
      <w:marBottom w:val="0"/>
      <w:divBdr>
        <w:top w:val="none" w:sz="0" w:space="0" w:color="auto"/>
        <w:left w:val="none" w:sz="0" w:space="0" w:color="auto"/>
        <w:bottom w:val="none" w:sz="0" w:space="0" w:color="auto"/>
        <w:right w:val="none" w:sz="0" w:space="0" w:color="auto"/>
      </w:divBdr>
    </w:div>
    <w:div w:id="1861239072">
      <w:bodyDiv w:val="1"/>
      <w:marLeft w:val="0"/>
      <w:marRight w:val="0"/>
      <w:marTop w:val="0"/>
      <w:marBottom w:val="0"/>
      <w:divBdr>
        <w:top w:val="none" w:sz="0" w:space="0" w:color="auto"/>
        <w:left w:val="none" w:sz="0" w:space="0" w:color="auto"/>
        <w:bottom w:val="none" w:sz="0" w:space="0" w:color="auto"/>
        <w:right w:val="none" w:sz="0" w:space="0" w:color="auto"/>
      </w:divBdr>
    </w:div>
    <w:div w:id="1892182525">
      <w:bodyDiv w:val="1"/>
      <w:marLeft w:val="0"/>
      <w:marRight w:val="0"/>
      <w:marTop w:val="0"/>
      <w:marBottom w:val="0"/>
      <w:divBdr>
        <w:top w:val="none" w:sz="0" w:space="0" w:color="auto"/>
        <w:left w:val="none" w:sz="0" w:space="0" w:color="auto"/>
        <w:bottom w:val="none" w:sz="0" w:space="0" w:color="auto"/>
        <w:right w:val="none" w:sz="0" w:space="0" w:color="auto"/>
      </w:divBdr>
    </w:div>
    <w:div w:id="1900634273">
      <w:bodyDiv w:val="1"/>
      <w:marLeft w:val="0"/>
      <w:marRight w:val="0"/>
      <w:marTop w:val="0"/>
      <w:marBottom w:val="0"/>
      <w:divBdr>
        <w:top w:val="none" w:sz="0" w:space="0" w:color="auto"/>
        <w:left w:val="none" w:sz="0" w:space="0" w:color="auto"/>
        <w:bottom w:val="none" w:sz="0" w:space="0" w:color="auto"/>
        <w:right w:val="none" w:sz="0" w:space="0" w:color="auto"/>
      </w:divBdr>
    </w:div>
    <w:div w:id="1916671596">
      <w:bodyDiv w:val="1"/>
      <w:marLeft w:val="0"/>
      <w:marRight w:val="0"/>
      <w:marTop w:val="0"/>
      <w:marBottom w:val="0"/>
      <w:divBdr>
        <w:top w:val="none" w:sz="0" w:space="0" w:color="auto"/>
        <w:left w:val="none" w:sz="0" w:space="0" w:color="auto"/>
        <w:bottom w:val="none" w:sz="0" w:space="0" w:color="auto"/>
        <w:right w:val="none" w:sz="0" w:space="0" w:color="auto"/>
      </w:divBdr>
    </w:div>
    <w:div w:id="1921911707">
      <w:bodyDiv w:val="1"/>
      <w:marLeft w:val="0"/>
      <w:marRight w:val="0"/>
      <w:marTop w:val="0"/>
      <w:marBottom w:val="0"/>
      <w:divBdr>
        <w:top w:val="none" w:sz="0" w:space="0" w:color="auto"/>
        <w:left w:val="none" w:sz="0" w:space="0" w:color="auto"/>
        <w:bottom w:val="none" w:sz="0" w:space="0" w:color="auto"/>
        <w:right w:val="none" w:sz="0" w:space="0" w:color="auto"/>
      </w:divBdr>
    </w:div>
    <w:div w:id="1924610504">
      <w:bodyDiv w:val="1"/>
      <w:marLeft w:val="0"/>
      <w:marRight w:val="0"/>
      <w:marTop w:val="0"/>
      <w:marBottom w:val="0"/>
      <w:divBdr>
        <w:top w:val="none" w:sz="0" w:space="0" w:color="auto"/>
        <w:left w:val="none" w:sz="0" w:space="0" w:color="auto"/>
        <w:bottom w:val="none" w:sz="0" w:space="0" w:color="auto"/>
        <w:right w:val="none" w:sz="0" w:space="0" w:color="auto"/>
      </w:divBdr>
    </w:div>
    <w:div w:id="1926649623">
      <w:bodyDiv w:val="1"/>
      <w:marLeft w:val="0"/>
      <w:marRight w:val="0"/>
      <w:marTop w:val="0"/>
      <w:marBottom w:val="0"/>
      <w:divBdr>
        <w:top w:val="none" w:sz="0" w:space="0" w:color="auto"/>
        <w:left w:val="none" w:sz="0" w:space="0" w:color="auto"/>
        <w:bottom w:val="none" w:sz="0" w:space="0" w:color="auto"/>
        <w:right w:val="none" w:sz="0" w:space="0" w:color="auto"/>
      </w:divBdr>
    </w:div>
    <w:div w:id="1974679277">
      <w:bodyDiv w:val="1"/>
      <w:marLeft w:val="0"/>
      <w:marRight w:val="0"/>
      <w:marTop w:val="0"/>
      <w:marBottom w:val="0"/>
      <w:divBdr>
        <w:top w:val="none" w:sz="0" w:space="0" w:color="auto"/>
        <w:left w:val="none" w:sz="0" w:space="0" w:color="auto"/>
        <w:bottom w:val="none" w:sz="0" w:space="0" w:color="auto"/>
        <w:right w:val="none" w:sz="0" w:space="0" w:color="auto"/>
      </w:divBdr>
    </w:div>
    <w:div w:id="1985623094">
      <w:bodyDiv w:val="1"/>
      <w:marLeft w:val="0"/>
      <w:marRight w:val="0"/>
      <w:marTop w:val="0"/>
      <w:marBottom w:val="0"/>
      <w:divBdr>
        <w:top w:val="none" w:sz="0" w:space="0" w:color="auto"/>
        <w:left w:val="none" w:sz="0" w:space="0" w:color="auto"/>
        <w:bottom w:val="none" w:sz="0" w:space="0" w:color="auto"/>
        <w:right w:val="none" w:sz="0" w:space="0" w:color="auto"/>
      </w:divBdr>
    </w:div>
    <w:div w:id="2034068275">
      <w:bodyDiv w:val="1"/>
      <w:marLeft w:val="0"/>
      <w:marRight w:val="0"/>
      <w:marTop w:val="0"/>
      <w:marBottom w:val="0"/>
      <w:divBdr>
        <w:top w:val="none" w:sz="0" w:space="0" w:color="auto"/>
        <w:left w:val="none" w:sz="0" w:space="0" w:color="auto"/>
        <w:bottom w:val="none" w:sz="0" w:space="0" w:color="auto"/>
        <w:right w:val="none" w:sz="0" w:space="0" w:color="auto"/>
      </w:divBdr>
    </w:div>
    <w:div w:id="2053772206">
      <w:bodyDiv w:val="1"/>
      <w:marLeft w:val="0"/>
      <w:marRight w:val="0"/>
      <w:marTop w:val="0"/>
      <w:marBottom w:val="0"/>
      <w:divBdr>
        <w:top w:val="none" w:sz="0" w:space="0" w:color="auto"/>
        <w:left w:val="none" w:sz="0" w:space="0" w:color="auto"/>
        <w:bottom w:val="none" w:sz="0" w:space="0" w:color="auto"/>
        <w:right w:val="none" w:sz="0" w:space="0" w:color="auto"/>
      </w:divBdr>
    </w:div>
    <w:div w:id="2121676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image" Target="media/image5.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journal.unipdu.ac.id:8080/index.php/register" TargetMode="External"/><Relationship Id="rId17" Type="http://schemas.openxmlformats.org/officeDocument/2006/relationships/image" Target="media/image4.jpe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syaiful@nurulfikri.ac.id"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rjuna.ristekdikti.go.id/index.php/news/view/138"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randim250498@gmail.com" TargetMode="External"/><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http://www.journal.unipdu.ac.id" TargetMode="External"/><Relationship Id="rId14" Type="http://schemas.openxmlformats.org/officeDocument/2006/relationships/hyperlink" Target="mailto:yekti@nurulfikri.ac.id" TargetMode="External"/><Relationship Id="rId22" Type="http://schemas.openxmlformats.org/officeDocument/2006/relationships/footer" Target="foot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doi.org/10.26594/register.v6i1.idarticl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doi.org/10.26594/register.v6i1.idarticl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doi.org/10.26594/register.v6i1.idarticl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Rat14</b:Tag>
    <b:SourceType>JournalArticle</b:SourceType>
    <b:Guid>{6EF0E472-A952-4F2E-9FC3-D4F1D8962216}</b:Guid>
    <b:LCID>id-ID</b:LCID>
    <b:Author>
      <b:Author>
        <b:NameList>
          <b:Person>
            <b:Last>Ratnasari</b:Last>
            <b:First>Evy</b:First>
            <b:Middle>Kamilah</b:Middle>
          </b:Person>
          <b:Person>
            <b:Last>Ginardi</b:Last>
            <b:First>Raden</b:First>
            <b:Middle>Venantius Hari</b:Middle>
          </b:Person>
          <b:Person>
            <b:Last>Fatichah</b:Last>
            <b:First>Chastine</b:First>
          </b:Person>
        </b:NameList>
      </b:Author>
    </b:Author>
    <b:Title>Pengenalan penyakit noda pada citra daun tebu berdasarkan ciri tekstur fractal dimension co-occurrence matrix dan L*a*b* color moments</b:Title>
    <b:JournalName>JUTI</b:JournalName>
    <b:Year>2014</b:Year>
    <b:Pages>27– 36</b:Pages>
    <b:Volume>12</b:Volume>
    <b:Issue>2</b:Issue>
    <b:RefOrder>1</b:RefOrder>
  </b:Source>
  <b:Source>
    <b:Tag>Jun19</b:Tag>
    <b:SourceType>JournalArticle</b:SourceType>
    <b:Guid>{67D86658-0F97-43E0-B631-EBFF6F06831D}</b:Guid>
    <b:Author>
      <b:Author>
        <b:NameList>
          <b:Person>
            <b:Last>Liu</b:Last>
            <b:First>Junqiang</b:First>
          </b:Person>
          <b:Person>
            <b:Last>Chang</b:Last>
            <b:First>Zhongmin</b:First>
          </b:Person>
          <b:Person>
            <b:Last>Leun</b:Last>
            <b:First>Carson</b:First>
            <b:Middle>K. S.</b:Middle>
          </b:Person>
          <b:Person>
            <b:Last>Wong</b:Last>
            <b:First>Raymond</b:First>
            <b:Middle>C. W.</b:Middle>
          </b:Person>
          <b:Person>
            <b:Last>Xu</b:Last>
            <b:First>Yabo</b:First>
          </b:Person>
          <b:Person>
            <b:Last>Zha</b:Last>
            <b:First>Rong</b:First>
          </b:Person>
        </b:NameList>
      </b:Author>
    </b:Author>
    <b:Title>Efficient mining of extraordinary patterns by pruning and predicting</b:Title>
    <b:JournalName>Expert Systems with Applications</b:JournalName>
    <b:Year>2019</b:Year>
    <b:Pages>55-68</b:Pages>
    <b:Volume>125</b:Volume>
    <b:Issue>July</b:Issue>
    <b:RefOrder>2</b:RefOrder>
  </b:Source>
  <b:Source>
    <b:Tag>Mas19</b:Tag>
    <b:SourceType>ConferenceProceedings</b:SourceType>
    <b:Guid>{9B5E1304-6497-41BA-91E8-D0F3AFA87873}</b:Guid>
    <b:Title>The Critical Success Factors for e-Government Implementation in South Africa’s Local government: Factoring in Apartheid Digital Divide</b:Title>
    <b:Year>2019</b:Year>
    <b:Author>
      <b:Author>
        <b:NameList>
          <b:Person>
            <b:Last>Masinde</b:Last>
            <b:First>Muthoni</b:First>
          </b:Person>
          <b:Person>
            <b:Last>Mkhonto</b:Last>
            <b:First>khonto</b:First>
          </b:Person>
        </b:NameList>
      </b:Author>
    </b:Author>
    <b:ConferenceName>2019 IEEE 2nd International Conference on Information and Computer Technologies (ICICT)</b:ConferenceName>
    <b:City>Kahului, HI, USA</b:City>
    <b:Publisher>IEEE</b:Publisher>
    <b:RefOrder>3</b:RefOrder>
  </b:Source>
  <b:Source>
    <b:Tag>Jay19</b:Tag>
    <b:SourceType>JournalArticle</b:SourceType>
    <b:Guid>{46DC9E87-C3A8-4642-9387-9D3165A7BDE1}</b:Guid>
    <b:Title>Blockchain in Finance</b:Title>
    <b:Year>2019</b:Year>
    <b:Author>
      <b:Author>
        <b:NameList>
          <b:Person>
            <b:Last>Varma</b:Last>
            <b:First>Jayanth</b:First>
            <b:Middle>Rama</b:Middle>
          </b:Person>
        </b:NameList>
      </b:Author>
    </b:Author>
    <b:JournalName>Vikalpa: The Journal for Decision Makers</b:JournalName>
    <b:Pages>1-11</b:Pages>
    <b:Volume>44</b:Volume>
    <b:Issue>1</b:Issue>
    <b:RefOrder>4</b:RefOrder>
  </b:Source>
  <b:Source>
    <b:Tag>Akı19</b:Tag>
    <b:SourceType>JournalArticle</b:SourceType>
    <b:Guid>{3EBE3996-A36E-4B0A-ABE8-D402D320799F}</b:Guid>
    <b:Author>
      <b:Author>
        <b:NameList>
          <b:Person>
            <b:Last>Orsdemir</b:Last>
            <b:First>Akın</b:First>
          </b:Person>
          <b:Person>
            <b:Last>Tilki</b:Last>
            <b:First>Gunes</b:First>
          </b:Person>
          <b:Person>
            <b:Last>Altinay</b:Last>
            <b:First>Fahriye</b:First>
          </b:Person>
        </b:NameList>
      </b:Author>
    </b:Author>
    <b:Title>Evaluation by Teachers of “Use of Influence in Agile Management” by School Administration</b:Title>
    <b:JournalName>International Journal of Disability, Development and Education</b:JournalName>
    <b:Year>2019</b:Year>
    <b:Pages>1-13</b:Pages>
    <b:RefOrder>5</b:RefOrder>
  </b:Source>
</b:Sources>
</file>

<file path=customXml/itemProps1.xml><?xml version="1.0" encoding="utf-8"?>
<ds:datastoreItem xmlns:ds="http://schemas.openxmlformats.org/officeDocument/2006/customXml" ds:itemID="{2B30F3B3-C4FE-4156-A69F-964CA90F8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12</Pages>
  <Words>21705</Words>
  <Characters>123725</Characters>
  <Application>Microsoft Office Word</Application>
  <DocSecurity>0</DocSecurity>
  <Lines>1031</Lines>
  <Paragraphs>290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 ch</dc:creator>
  <cp:keywords/>
  <dc:description/>
  <cp:lastModifiedBy>Syaiful Romadhon</cp:lastModifiedBy>
  <cp:revision>8</cp:revision>
  <cp:lastPrinted>2020-06-10T19:56:00Z</cp:lastPrinted>
  <dcterms:created xsi:type="dcterms:W3CDTF">2021-02-19T02:02:00Z</dcterms:created>
  <dcterms:modified xsi:type="dcterms:W3CDTF">2021-02-20T01:35:00Z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bf00b860-4f2d-3fcc-b81e-f33ff7beb2c3</vt:lpwstr>
  </property>
  <property fmtid="{D5CDD505-2E9C-101B-9397-08002B2CF9AE}" pid="4" name="Mendeley Citation Style_1">
    <vt:lpwstr>http://www.zotero.org/styles/ieee</vt:lpwstr>
  </property>
</Properties>
</file>